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0248" w14:textId="4E0CF8BD" w:rsidR="003C4A45" w:rsidRPr="001B5A3E" w:rsidRDefault="00425C92" w:rsidP="00693F5A">
      <w:pPr>
        <w:pStyle w:val="Title"/>
        <w:tabs>
          <w:tab w:val="clear" w:pos="10260"/>
          <w:tab w:val="right" w:pos="9990"/>
        </w:tabs>
        <w:spacing w:after="120"/>
        <w:ind w:left="547" w:right="144"/>
        <w:rPr>
          <w:sz w:val="40"/>
          <w:szCs w:val="40"/>
        </w:rPr>
        <w:sectPr w:rsidR="003C4A45" w:rsidRPr="001B5A3E" w:rsidSect="00413FF4">
          <w:pgSz w:w="12240" w:h="15840"/>
          <w:pgMar w:top="720" w:right="1267" w:bottom="1008" w:left="850" w:header="0" w:footer="432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CDB0085" wp14:editId="38AFBE57">
            <wp:extent cx="1790700" cy="647700"/>
            <wp:effectExtent l="0" t="0" r="0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9570EB" w:rsidRPr="00F72463">
        <w:rPr>
          <w:rFonts w:ascii="Arial" w:hAnsi="Arial" w:cs="Arial"/>
          <w:sz w:val="40"/>
          <w:szCs w:val="40"/>
        </w:rPr>
        <w:t>Finance Department</w:t>
      </w:r>
      <w:bookmarkStart w:id="0" w:name="_GoBack"/>
      <w:bookmarkEnd w:id="0"/>
    </w:p>
    <w:p w14:paraId="0C3B3C35" w14:textId="77777777" w:rsidR="00A311CB" w:rsidRPr="00F72463" w:rsidRDefault="00A311CB" w:rsidP="00377314">
      <w:pPr>
        <w:pStyle w:val="NoSpacing"/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F72463">
        <w:rPr>
          <w:rFonts w:ascii="Arial" w:hAnsi="Arial" w:cs="Arial"/>
          <w:sz w:val="20"/>
          <w:szCs w:val="20"/>
        </w:rPr>
        <w:lastRenderedPageBreak/>
        <w:t>595 9</w:t>
      </w:r>
      <w:r w:rsidRPr="00F72463">
        <w:rPr>
          <w:rFonts w:ascii="Arial" w:hAnsi="Arial" w:cs="Arial"/>
          <w:sz w:val="20"/>
          <w:szCs w:val="20"/>
          <w:vertAlign w:val="superscript"/>
        </w:rPr>
        <w:t>th</w:t>
      </w:r>
      <w:r w:rsidRPr="00F72463">
        <w:rPr>
          <w:rFonts w:ascii="Arial" w:hAnsi="Arial" w:cs="Arial"/>
          <w:sz w:val="20"/>
          <w:szCs w:val="20"/>
        </w:rPr>
        <w:t xml:space="preserve"> Avenue East, Owen Sound ON  </w:t>
      </w:r>
      <w:r w:rsidR="0077552D" w:rsidRPr="00F72463">
        <w:rPr>
          <w:rFonts w:ascii="Arial" w:hAnsi="Arial" w:cs="Arial"/>
          <w:sz w:val="20"/>
          <w:szCs w:val="20"/>
        </w:rPr>
        <w:t xml:space="preserve"> </w:t>
      </w:r>
      <w:r w:rsidRPr="00F72463">
        <w:rPr>
          <w:rFonts w:ascii="Arial" w:hAnsi="Arial" w:cs="Arial"/>
          <w:sz w:val="20"/>
          <w:szCs w:val="20"/>
        </w:rPr>
        <w:t>N4K 3E3</w:t>
      </w:r>
    </w:p>
    <w:p w14:paraId="57816BA2" w14:textId="77777777" w:rsidR="00A311CB" w:rsidRPr="00F72463" w:rsidRDefault="00A311CB" w:rsidP="00377314">
      <w:pPr>
        <w:pStyle w:val="NoSpacing"/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F72463">
        <w:rPr>
          <w:rFonts w:ascii="Arial" w:hAnsi="Arial" w:cs="Arial"/>
          <w:sz w:val="20"/>
          <w:szCs w:val="20"/>
        </w:rPr>
        <w:t>(519) 376-</w:t>
      </w:r>
      <w:r w:rsidR="0077552D" w:rsidRPr="00F72463">
        <w:rPr>
          <w:rFonts w:ascii="Arial" w:hAnsi="Arial" w:cs="Arial"/>
          <w:sz w:val="20"/>
          <w:szCs w:val="20"/>
        </w:rPr>
        <w:t>2205</w:t>
      </w:r>
      <w:r w:rsidR="00F256AB" w:rsidRPr="00F72463">
        <w:rPr>
          <w:rFonts w:ascii="Arial" w:hAnsi="Arial" w:cs="Arial"/>
          <w:sz w:val="20"/>
          <w:szCs w:val="20"/>
        </w:rPr>
        <w:t xml:space="preserve"> </w:t>
      </w:r>
      <w:r w:rsidRPr="00F72463">
        <w:rPr>
          <w:rFonts w:ascii="Arial" w:hAnsi="Arial" w:cs="Arial"/>
          <w:sz w:val="20"/>
          <w:szCs w:val="20"/>
        </w:rPr>
        <w:t>/ 1-800-567-</w:t>
      </w:r>
      <w:r w:rsidR="00BC188D" w:rsidRPr="00F72463">
        <w:rPr>
          <w:rFonts w:ascii="Arial" w:hAnsi="Arial" w:cs="Arial"/>
          <w:sz w:val="20"/>
          <w:szCs w:val="20"/>
        </w:rPr>
        <w:t>GREY</w:t>
      </w:r>
      <w:r w:rsidRPr="00F72463">
        <w:rPr>
          <w:rFonts w:ascii="Arial" w:hAnsi="Arial" w:cs="Arial"/>
          <w:sz w:val="20"/>
          <w:szCs w:val="20"/>
        </w:rPr>
        <w:t xml:space="preserve"> / Fax (519) 376-</w:t>
      </w:r>
      <w:r w:rsidR="0077552D" w:rsidRPr="00F72463">
        <w:rPr>
          <w:rFonts w:ascii="Arial" w:hAnsi="Arial" w:cs="Arial"/>
          <w:sz w:val="20"/>
          <w:szCs w:val="20"/>
        </w:rPr>
        <w:t>7907</w:t>
      </w:r>
    </w:p>
    <w:p w14:paraId="1B0B1067" w14:textId="77777777" w:rsidR="00937A17" w:rsidRPr="00EB5F06" w:rsidRDefault="00937A17" w:rsidP="00937A17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14:paraId="1280FE23" w14:textId="77777777" w:rsidR="00937A17" w:rsidRPr="00EB5F06" w:rsidRDefault="0077552D" w:rsidP="00F72463">
      <w:pPr>
        <w:keepNext/>
        <w:keepLines/>
        <w:spacing w:after="120" w:line="240" w:lineRule="auto"/>
        <w:outlineLvl w:val="0"/>
        <w:rPr>
          <w:rFonts w:ascii="Arial" w:hAnsi="Arial" w:cs="Arial"/>
          <w:sz w:val="16"/>
          <w:szCs w:val="16"/>
        </w:rPr>
      </w:pPr>
      <w:r w:rsidRPr="00EB5F06">
        <w:rPr>
          <w:rFonts w:ascii="Arial" w:eastAsia="Times New Roman" w:hAnsi="Arial" w:cs="Arial"/>
          <w:bCs/>
          <w:sz w:val="32"/>
          <w:szCs w:val="32"/>
        </w:rPr>
        <w:t xml:space="preserve">Vehicle Mileage Reimbursement for </w:t>
      </w:r>
      <w:r w:rsidR="00F67A2C">
        <w:rPr>
          <w:rFonts w:ascii="Arial" w:eastAsia="Times New Roman" w:hAnsi="Arial" w:cs="Arial"/>
          <w:bCs/>
          <w:sz w:val="32"/>
          <w:szCs w:val="32"/>
        </w:rPr>
        <w:t xml:space="preserve">October 1 to December </w:t>
      </w:r>
      <w:r w:rsidR="003A1897">
        <w:rPr>
          <w:rFonts w:ascii="Arial" w:eastAsia="Times New Roman" w:hAnsi="Arial" w:cs="Arial"/>
          <w:bCs/>
          <w:sz w:val="32"/>
          <w:szCs w:val="32"/>
        </w:rPr>
        <w:t>31</w:t>
      </w:r>
      <w:r w:rsidR="00D115F0">
        <w:rPr>
          <w:rFonts w:ascii="Arial" w:eastAsia="Times New Roman" w:hAnsi="Arial" w:cs="Arial"/>
          <w:bCs/>
          <w:sz w:val="32"/>
          <w:szCs w:val="32"/>
        </w:rPr>
        <w:t>, 2018</w:t>
      </w:r>
    </w:p>
    <w:p w14:paraId="79A23976" w14:textId="77777777" w:rsidR="0077552D" w:rsidRPr="00EB5F06" w:rsidRDefault="0077552D" w:rsidP="00937A17">
      <w:pPr>
        <w:pStyle w:val="NoSpacing"/>
        <w:ind w:left="0" w:firstLine="0"/>
        <w:rPr>
          <w:rFonts w:ascii="Arial" w:hAnsi="Arial" w:cs="Arial"/>
        </w:rPr>
      </w:pPr>
      <w:r w:rsidRPr="00EB5F06">
        <w:rPr>
          <w:rFonts w:ascii="Arial" w:hAnsi="Arial" w:cs="Arial"/>
        </w:rPr>
        <w:t>County Council on July 8, 2008, approved a County per kilometre reimbursement mileage rate calculated on a quarterly basis utilizing a Sliding Scale that would allow for fluctuations in the price of gasoline.  This Sliding Scale for kilometre reimbursement for mileage will be based on the Ontario Ministry of Energy</w:t>
      </w:r>
      <w:r w:rsidR="00AB3A9E" w:rsidRPr="00EB5F06">
        <w:rPr>
          <w:rFonts w:ascii="Arial" w:hAnsi="Arial" w:cs="Arial"/>
        </w:rPr>
        <w:t xml:space="preserve">’s </w:t>
      </w:r>
      <w:r w:rsidRPr="00EB5F06">
        <w:rPr>
          <w:rFonts w:ascii="Arial" w:hAnsi="Arial" w:cs="Arial"/>
        </w:rPr>
        <w:t xml:space="preserve"> Southern Ontario average price per litre for unleaded gasoline.  This Sliding Scale for kilometre reimbursement for County employees will become effective July 1, 2008.</w:t>
      </w:r>
    </w:p>
    <w:p w14:paraId="5F835F46" w14:textId="77777777" w:rsidR="00111DF3" w:rsidRPr="00EB5F06" w:rsidRDefault="00111DF3" w:rsidP="009D33B3">
      <w:pPr>
        <w:pStyle w:val="NoSpacing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4DEAE090" w14:textId="77777777" w:rsidR="00D16ABF" w:rsidRPr="00EB5F06" w:rsidRDefault="0077552D" w:rsidP="009D33B3">
      <w:pPr>
        <w:pStyle w:val="NoSpacing"/>
        <w:ind w:left="0" w:firstLine="0"/>
        <w:rPr>
          <w:rFonts w:ascii="Arial" w:hAnsi="Arial" w:cs="Arial"/>
          <w:b/>
        </w:rPr>
      </w:pPr>
      <w:r w:rsidRPr="00EB5F06">
        <w:rPr>
          <w:rFonts w:ascii="Arial" w:hAnsi="Arial" w:cs="Arial"/>
          <w:b/>
        </w:rPr>
        <w:t xml:space="preserve">Therefore the kilometre reimbursement rate for </w:t>
      </w:r>
      <w:r w:rsidR="003A1897">
        <w:rPr>
          <w:rFonts w:ascii="Arial" w:hAnsi="Arial" w:cs="Arial"/>
          <w:b/>
        </w:rPr>
        <w:t>October 1 to December 31</w:t>
      </w:r>
      <w:r w:rsidR="00D115F0">
        <w:rPr>
          <w:rFonts w:ascii="Arial" w:hAnsi="Arial" w:cs="Arial"/>
          <w:b/>
        </w:rPr>
        <w:t xml:space="preserve">, 2018 </w:t>
      </w:r>
      <w:r w:rsidRPr="00EB5F06">
        <w:rPr>
          <w:rFonts w:ascii="Arial" w:hAnsi="Arial" w:cs="Arial"/>
          <w:b/>
        </w:rPr>
        <w:t>as per the Ontario Ministry of Energy</w:t>
      </w:r>
      <w:r w:rsidR="00AB3A9E" w:rsidRPr="00EB5F06">
        <w:rPr>
          <w:rFonts w:ascii="Arial" w:hAnsi="Arial" w:cs="Arial"/>
          <w:b/>
        </w:rPr>
        <w:t>’s</w:t>
      </w:r>
      <w:r w:rsidRPr="00EB5F06">
        <w:rPr>
          <w:rFonts w:ascii="Arial" w:hAnsi="Arial" w:cs="Arial"/>
          <w:b/>
        </w:rPr>
        <w:t xml:space="preserve"> </w:t>
      </w:r>
      <w:r w:rsidR="00D115F0">
        <w:rPr>
          <w:rFonts w:ascii="Arial" w:hAnsi="Arial" w:cs="Arial"/>
          <w:b/>
        </w:rPr>
        <w:t>3rd</w:t>
      </w:r>
      <w:r w:rsidR="00A157D6">
        <w:rPr>
          <w:rFonts w:ascii="Arial" w:hAnsi="Arial" w:cs="Arial"/>
          <w:b/>
        </w:rPr>
        <w:t xml:space="preserve"> Quarter</w:t>
      </w:r>
      <w:r w:rsidRPr="00EB5F06">
        <w:rPr>
          <w:rFonts w:ascii="Arial" w:hAnsi="Arial" w:cs="Arial"/>
          <w:b/>
        </w:rPr>
        <w:t xml:space="preserve"> Southern Ontario Average Unleaded Gasoline Price of </w:t>
      </w:r>
      <w:r w:rsidR="00C742B4" w:rsidRPr="00920CD1">
        <w:rPr>
          <w:rFonts w:ascii="Arial" w:hAnsi="Arial" w:cs="Arial"/>
          <w:b/>
        </w:rPr>
        <w:t>131.2</w:t>
      </w:r>
      <w:r w:rsidR="00B47253" w:rsidRPr="00920CD1">
        <w:rPr>
          <w:rFonts w:ascii="Arial" w:hAnsi="Arial" w:cs="Arial"/>
          <w:b/>
        </w:rPr>
        <w:t xml:space="preserve"> </w:t>
      </w:r>
      <w:r w:rsidRPr="00920CD1">
        <w:rPr>
          <w:rFonts w:ascii="Arial" w:hAnsi="Arial" w:cs="Arial"/>
          <w:b/>
        </w:rPr>
        <w:t>(</w:t>
      </w:r>
      <w:r w:rsidRPr="00C742B4">
        <w:rPr>
          <w:rFonts w:ascii="Arial" w:hAnsi="Arial" w:cs="Arial"/>
          <w:b/>
        </w:rPr>
        <w:t>c</w:t>
      </w:r>
      <w:r w:rsidRPr="00EB5F06">
        <w:rPr>
          <w:rFonts w:ascii="Arial" w:hAnsi="Arial" w:cs="Arial"/>
          <w:b/>
        </w:rPr>
        <w:t>ents per litre) will be:</w:t>
      </w:r>
    </w:p>
    <w:p w14:paraId="46B5CFE0" w14:textId="77777777" w:rsidR="00D16ABF" w:rsidRPr="00EB5F06" w:rsidRDefault="00D16ABF" w:rsidP="00937A17">
      <w:pPr>
        <w:pStyle w:val="NoSpacing"/>
        <w:ind w:left="0" w:firstLine="0"/>
        <w:rPr>
          <w:rFonts w:ascii="Arial" w:hAnsi="Arial" w:cs="Arial"/>
          <w:b/>
          <w:sz w:val="16"/>
          <w:szCs w:val="16"/>
        </w:rPr>
      </w:pPr>
    </w:p>
    <w:p w14:paraId="47F49CDD" w14:textId="77777777" w:rsidR="0077552D" w:rsidRPr="00EB5F06" w:rsidRDefault="000F2217" w:rsidP="009D33B3">
      <w:pPr>
        <w:pStyle w:val="NoSpacing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920CD1">
        <w:rPr>
          <w:rFonts w:ascii="Arial" w:hAnsi="Arial" w:cs="Arial"/>
          <w:b/>
        </w:rPr>
        <w:t>4</w:t>
      </w:r>
      <w:r w:rsidR="00B47253" w:rsidRPr="00920CD1">
        <w:rPr>
          <w:rFonts w:ascii="Arial" w:hAnsi="Arial" w:cs="Arial"/>
          <w:b/>
        </w:rPr>
        <w:t>8.5</w:t>
      </w:r>
      <w:r w:rsidR="00973245" w:rsidRPr="00920CD1">
        <w:rPr>
          <w:rFonts w:ascii="Arial" w:hAnsi="Arial" w:cs="Arial"/>
          <w:b/>
        </w:rPr>
        <w:t>¢</w:t>
      </w:r>
      <w:r w:rsidR="0077552D" w:rsidRPr="00920CD1">
        <w:rPr>
          <w:rFonts w:ascii="Arial" w:hAnsi="Arial" w:cs="Arial"/>
          <w:b/>
        </w:rPr>
        <w:t xml:space="preserve"> </w:t>
      </w:r>
      <w:r w:rsidR="0077552D" w:rsidRPr="00EB5F06">
        <w:rPr>
          <w:rFonts w:ascii="Arial" w:hAnsi="Arial" w:cs="Arial"/>
          <w:b/>
        </w:rPr>
        <w:t>per kilometre</w:t>
      </w:r>
    </w:p>
    <w:p w14:paraId="0E32B7FC" w14:textId="77777777" w:rsidR="0077552D" w:rsidRPr="00EB5F06" w:rsidRDefault="0077552D" w:rsidP="00937A17">
      <w:pPr>
        <w:pStyle w:val="NoSpacing"/>
        <w:rPr>
          <w:rFonts w:ascii="Arial" w:hAnsi="Arial" w:cs="Arial"/>
          <w:sz w:val="14"/>
          <w:szCs w:val="14"/>
        </w:rPr>
      </w:pPr>
    </w:p>
    <w:p w14:paraId="4AC8EF06" w14:textId="77777777" w:rsidR="00D16ABF" w:rsidRPr="00EB5F06" w:rsidRDefault="003003C7" w:rsidP="00937A17">
      <w:pPr>
        <w:pStyle w:val="NoSpacing"/>
        <w:rPr>
          <w:rFonts w:ascii="Arial" w:hAnsi="Arial" w:cs="Arial"/>
        </w:rPr>
      </w:pPr>
      <w:r w:rsidRPr="00EB5F06">
        <w:rPr>
          <w:rFonts w:ascii="Arial" w:hAnsi="Arial" w:cs="Arial"/>
        </w:rPr>
        <w:t xml:space="preserve">The following </w:t>
      </w:r>
      <w:r w:rsidR="009D33B3" w:rsidRPr="00EB5F06">
        <w:rPr>
          <w:rFonts w:ascii="Arial" w:hAnsi="Arial" w:cs="Arial"/>
          <w:b/>
        </w:rPr>
        <w:t>Table – Sliding Scale Reimbursement</w:t>
      </w:r>
      <w:r w:rsidR="009D33B3" w:rsidRPr="00EB5F06">
        <w:rPr>
          <w:rFonts w:ascii="Arial" w:hAnsi="Arial" w:cs="Arial"/>
        </w:rPr>
        <w:t xml:space="preserve"> </w:t>
      </w:r>
      <w:r w:rsidR="0077552D" w:rsidRPr="00EB5F06">
        <w:rPr>
          <w:rFonts w:ascii="Arial" w:hAnsi="Arial" w:cs="Arial"/>
        </w:rPr>
        <w:t xml:space="preserve">depicts </w:t>
      </w:r>
      <w:r w:rsidR="0058319F" w:rsidRPr="00EB5F06">
        <w:rPr>
          <w:rFonts w:ascii="Arial" w:hAnsi="Arial" w:cs="Arial"/>
        </w:rPr>
        <w:t>the ranges in the sliding scale.</w:t>
      </w:r>
    </w:p>
    <w:p w14:paraId="1986A707" w14:textId="77777777" w:rsidR="0058319F" w:rsidRPr="00EB5F06" w:rsidRDefault="0058319F" w:rsidP="00937A17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X="918" w:tblpY="1"/>
        <w:tblW w:w="0" w:type="auto"/>
        <w:tblLook w:val="01E0" w:firstRow="1" w:lastRow="1" w:firstColumn="1" w:lastColumn="1" w:noHBand="0" w:noVBand="0"/>
        <w:tblCaption w:val="Table - Sliding Scale Reimbursement "/>
        <w:tblDescription w:val="Identifies Gas Price Range per Litre and the Reimbursement Rate Per Kilometre"/>
      </w:tblPr>
      <w:tblGrid>
        <w:gridCol w:w="3618"/>
        <w:gridCol w:w="3780"/>
      </w:tblGrid>
      <w:tr w:rsidR="0077552D" w:rsidRPr="00EB5F06" w14:paraId="07F784A8" w14:textId="77777777" w:rsidTr="00C60486">
        <w:trPr>
          <w:tblHeader/>
        </w:trPr>
        <w:tc>
          <w:tcPr>
            <w:tcW w:w="3618" w:type="dxa"/>
            <w:shd w:val="clear" w:color="auto" w:fill="F2F2F2" w:themeFill="background1" w:themeFillShade="F2"/>
          </w:tcPr>
          <w:p w14:paraId="5DC275F5" w14:textId="77777777" w:rsidR="00977D9D" w:rsidRPr="00EB5F06" w:rsidRDefault="0077552D" w:rsidP="001B5A3E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Gas Price Range</w:t>
            </w:r>
          </w:p>
          <w:p w14:paraId="08341D9C" w14:textId="77777777" w:rsidR="0077552D" w:rsidRPr="00EB5F06" w:rsidRDefault="0077552D" w:rsidP="001B5A3E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 xml:space="preserve"> per Litre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5260A8D6" w14:textId="77777777" w:rsidR="00977D9D" w:rsidRPr="00EB5F06" w:rsidRDefault="0077552D" w:rsidP="001B5A3E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Reimbursement Rate</w:t>
            </w:r>
          </w:p>
          <w:p w14:paraId="6139F84D" w14:textId="77777777" w:rsidR="0077552D" w:rsidRPr="00EB5F06" w:rsidRDefault="003003C7" w:rsidP="001B5A3E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 xml:space="preserve"> </w:t>
            </w:r>
            <w:r w:rsidR="0077552D" w:rsidRPr="00EB5F06">
              <w:rPr>
                <w:rFonts w:ascii="Arial" w:hAnsi="Arial" w:cs="Arial"/>
              </w:rPr>
              <w:t>Per Kilometre</w:t>
            </w:r>
          </w:p>
        </w:tc>
      </w:tr>
      <w:tr w:rsidR="0077552D" w:rsidRPr="00EB5F06" w14:paraId="285A1E97" w14:textId="77777777" w:rsidTr="00977D9D">
        <w:tc>
          <w:tcPr>
            <w:tcW w:w="3618" w:type="dxa"/>
          </w:tcPr>
          <w:p w14:paraId="3DA8DCF9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.650 - .699</w:t>
            </w:r>
          </w:p>
        </w:tc>
        <w:tc>
          <w:tcPr>
            <w:tcW w:w="3780" w:type="dxa"/>
          </w:tcPr>
          <w:p w14:paraId="1232224A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.420</w:t>
            </w:r>
          </w:p>
        </w:tc>
      </w:tr>
      <w:tr w:rsidR="0077552D" w:rsidRPr="00EB5F06" w14:paraId="5637B1C8" w14:textId="77777777" w:rsidTr="00977D9D">
        <w:tc>
          <w:tcPr>
            <w:tcW w:w="3618" w:type="dxa"/>
          </w:tcPr>
          <w:p w14:paraId="2454590E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.700 - .749</w:t>
            </w:r>
          </w:p>
        </w:tc>
        <w:tc>
          <w:tcPr>
            <w:tcW w:w="3780" w:type="dxa"/>
          </w:tcPr>
          <w:p w14:paraId="52E92B87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.425</w:t>
            </w:r>
          </w:p>
        </w:tc>
      </w:tr>
      <w:tr w:rsidR="0077552D" w:rsidRPr="00EB5F06" w14:paraId="08B98957" w14:textId="77777777" w:rsidTr="00977D9D">
        <w:tc>
          <w:tcPr>
            <w:tcW w:w="3618" w:type="dxa"/>
          </w:tcPr>
          <w:p w14:paraId="31AC3A65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.750 - .799</w:t>
            </w:r>
          </w:p>
        </w:tc>
        <w:tc>
          <w:tcPr>
            <w:tcW w:w="3780" w:type="dxa"/>
          </w:tcPr>
          <w:p w14:paraId="37490E62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.430</w:t>
            </w:r>
          </w:p>
        </w:tc>
      </w:tr>
      <w:tr w:rsidR="0077552D" w:rsidRPr="00EB5F06" w14:paraId="6F9034FD" w14:textId="77777777" w:rsidTr="00977D9D">
        <w:tc>
          <w:tcPr>
            <w:tcW w:w="3618" w:type="dxa"/>
          </w:tcPr>
          <w:p w14:paraId="50D689E0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.800 - .849</w:t>
            </w:r>
          </w:p>
        </w:tc>
        <w:tc>
          <w:tcPr>
            <w:tcW w:w="3780" w:type="dxa"/>
          </w:tcPr>
          <w:p w14:paraId="517423DA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.435</w:t>
            </w:r>
          </w:p>
        </w:tc>
      </w:tr>
      <w:tr w:rsidR="0077552D" w:rsidRPr="00EB5F06" w14:paraId="644AFCB7" w14:textId="77777777" w:rsidTr="00977D9D">
        <w:tc>
          <w:tcPr>
            <w:tcW w:w="3618" w:type="dxa"/>
          </w:tcPr>
          <w:p w14:paraId="0A4DC31A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.850 - .899</w:t>
            </w:r>
          </w:p>
        </w:tc>
        <w:tc>
          <w:tcPr>
            <w:tcW w:w="3780" w:type="dxa"/>
          </w:tcPr>
          <w:p w14:paraId="64427337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.440</w:t>
            </w:r>
          </w:p>
        </w:tc>
      </w:tr>
      <w:tr w:rsidR="0077552D" w:rsidRPr="00EB5F06" w14:paraId="6CBEA69A" w14:textId="77777777" w:rsidTr="00977D9D">
        <w:tc>
          <w:tcPr>
            <w:tcW w:w="3618" w:type="dxa"/>
          </w:tcPr>
          <w:p w14:paraId="2BCDDC5D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.900 - .949</w:t>
            </w:r>
          </w:p>
        </w:tc>
        <w:tc>
          <w:tcPr>
            <w:tcW w:w="3780" w:type="dxa"/>
          </w:tcPr>
          <w:p w14:paraId="138B9422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.445</w:t>
            </w:r>
          </w:p>
        </w:tc>
      </w:tr>
      <w:tr w:rsidR="0077552D" w:rsidRPr="00EB5F06" w14:paraId="3C9EE862" w14:textId="77777777" w:rsidTr="00977D9D">
        <w:tc>
          <w:tcPr>
            <w:tcW w:w="3618" w:type="dxa"/>
          </w:tcPr>
          <w:p w14:paraId="690A625F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.950 - .999</w:t>
            </w:r>
          </w:p>
        </w:tc>
        <w:tc>
          <w:tcPr>
            <w:tcW w:w="3780" w:type="dxa"/>
          </w:tcPr>
          <w:p w14:paraId="4E6CBD17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.450</w:t>
            </w:r>
          </w:p>
        </w:tc>
      </w:tr>
      <w:tr w:rsidR="0077552D" w:rsidRPr="00EB5F06" w14:paraId="711382E7" w14:textId="77777777" w:rsidTr="00977D9D">
        <w:tc>
          <w:tcPr>
            <w:tcW w:w="3618" w:type="dxa"/>
          </w:tcPr>
          <w:p w14:paraId="3745C6F4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1.000 - 1.049</w:t>
            </w:r>
          </w:p>
        </w:tc>
        <w:tc>
          <w:tcPr>
            <w:tcW w:w="3780" w:type="dxa"/>
          </w:tcPr>
          <w:p w14:paraId="0AEE3FD5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.455</w:t>
            </w:r>
          </w:p>
        </w:tc>
      </w:tr>
      <w:tr w:rsidR="0077552D" w:rsidRPr="00EB5F06" w14:paraId="42AF3FB7" w14:textId="77777777" w:rsidTr="00977D9D">
        <w:tc>
          <w:tcPr>
            <w:tcW w:w="3618" w:type="dxa"/>
          </w:tcPr>
          <w:p w14:paraId="1491BE6C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1.050 – 1.099</w:t>
            </w:r>
          </w:p>
        </w:tc>
        <w:tc>
          <w:tcPr>
            <w:tcW w:w="3780" w:type="dxa"/>
          </w:tcPr>
          <w:p w14:paraId="3642FB4B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.460</w:t>
            </w:r>
          </w:p>
        </w:tc>
      </w:tr>
      <w:tr w:rsidR="0077552D" w:rsidRPr="00EB5F06" w14:paraId="462628CB" w14:textId="77777777" w:rsidTr="00977D9D">
        <w:tc>
          <w:tcPr>
            <w:tcW w:w="3618" w:type="dxa"/>
          </w:tcPr>
          <w:p w14:paraId="582C36A8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1.100 – 1.149</w:t>
            </w:r>
          </w:p>
        </w:tc>
        <w:tc>
          <w:tcPr>
            <w:tcW w:w="3780" w:type="dxa"/>
          </w:tcPr>
          <w:p w14:paraId="3339A971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.465</w:t>
            </w:r>
          </w:p>
        </w:tc>
      </w:tr>
      <w:tr w:rsidR="0077552D" w:rsidRPr="00EB5F06" w14:paraId="2B6CF344" w14:textId="77777777" w:rsidTr="00977D9D">
        <w:tc>
          <w:tcPr>
            <w:tcW w:w="3618" w:type="dxa"/>
          </w:tcPr>
          <w:p w14:paraId="40F7DE4B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1.150 – 1.199</w:t>
            </w:r>
          </w:p>
        </w:tc>
        <w:tc>
          <w:tcPr>
            <w:tcW w:w="3780" w:type="dxa"/>
          </w:tcPr>
          <w:p w14:paraId="0017C854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.470</w:t>
            </w:r>
          </w:p>
        </w:tc>
      </w:tr>
      <w:tr w:rsidR="0077552D" w:rsidRPr="00EB5F06" w14:paraId="62D2E178" w14:textId="77777777" w:rsidTr="00977D9D">
        <w:tc>
          <w:tcPr>
            <w:tcW w:w="3618" w:type="dxa"/>
          </w:tcPr>
          <w:p w14:paraId="0DBD4CC0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1.200 – 1.249</w:t>
            </w:r>
          </w:p>
        </w:tc>
        <w:tc>
          <w:tcPr>
            <w:tcW w:w="3780" w:type="dxa"/>
          </w:tcPr>
          <w:p w14:paraId="32362915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.475</w:t>
            </w:r>
          </w:p>
        </w:tc>
      </w:tr>
      <w:tr w:rsidR="0077552D" w:rsidRPr="00EB5F06" w14:paraId="71C4E9D5" w14:textId="77777777" w:rsidTr="00977D9D">
        <w:tc>
          <w:tcPr>
            <w:tcW w:w="3618" w:type="dxa"/>
          </w:tcPr>
          <w:p w14:paraId="4F20A670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1.250 – 1.299</w:t>
            </w:r>
          </w:p>
        </w:tc>
        <w:tc>
          <w:tcPr>
            <w:tcW w:w="3780" w:type="dxa"/>
          </w:tcPr>
          <w:p w14:paraId="329DFB78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.480</w:t>
            </w:r>
          </w:p>
        </w:tc>
      </w:tr>
      <w:tr w:rsidR="0077552D" w:rsidRPr="00EB5F06" w14:paraId="4329B1A8" w14:textId="77777777" w:rsidTr="00977D9D">
        <w:tc>
          <w:tcPr>
            <w:tcW w:w="3618" w:type="dxa"/>
          </w:tcPr>
          <w:p w14:paraId="2A4B75E9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1.300 – 1.349</w:t>
            </w:r>
          </w:p>
        </w:tc>
        <w:tc>
          <w:tcPr>
            <w:tcW w:w="3780" w:type="dxa"/>
          </w:tcPr>
          <w:p w14:paraId="2BF723EB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.485</w:t>
            </w:r>
          </w:p>
        </w:tc>
      </w:tr>
      <w:tr w:rsidR="0077552D" w:rsidRPr="00EB5F06" w14:paraId="7630079F" w14:textId="77777777" w:rsidTr="00977D9D">
        <w:tc>
          <w:tcPr>
            <w:tcW w:w="3618" w:type="dxa"/>
          </w:tcPr>
          <w:p w14:paraId="31915838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1.350 – 1.399</w:t>
            </w:r>
          </w:p>
        </w:tc>
        <w:tc>
          <w:tcPr>
            <w:tcW w:w="3780" w:type="dxa"/>
          </w:tcPr>
          <w:p w14:paraId="2FF21C2F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.490</w:t>
            </w:r>
          </w:p>
        </w:tc>
      </w:tr>
      <w:tr w:rsidR="0077552D" w:rsidRPr="00EB5F06" w14:paraId="023B8708" w14:textId="77777777" w:rsidTr="00977D9D">
        <w:tc>
          <w:tcPr>
            <w:tcW w:w="3618" w:type="dxa"/>
          </w:tcPr>
          <w:p w14:paraId="2BA142B8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1.400 – 1.449</w:t>
            </w:r>
          </w:p>
        </w:tc>
        <w:tc>
          <w:tcPr>
            <w:tcW w:w="3780" w:type="dxa"/>
          </w:tcPr>
          <w:p w14:paraId="64894C28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.495</w:t>
            </w:r>
          </w:p>
        </w:tc>
      </w:tr>
      <w:tr w:rsidR="0077552D" w:rsidRPr="00EB5F06" w14:paraId="67C7D2F2" w14:textId="77777777" w:rsidTr="00977D9D">
        <w:tc>
          <w:tcPr>
            <w:tcW w:w="3618" w:type="dxa"/>
          </w:tcPr>
          <w:p w14:paraId="40B7F1FB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1.450 – 1.499</w:t>
            </w:r>
          </w:p>
        </w:tc>
        <w:tc>
          <w:tcPr>
            <w:tcW w:w="3780" w:type="dxa"/>
          </w:tcPr>
          <w:p w14:paraId="6BCB0D3D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.500</w:t>
            </w:r>
          </w:p>
        </w:tc>
      </w:tr>
      <w:tr w:rsidR="0077552D" w:rsidRPr="00EB5F06" w14:paraId="073CAA3C" w14:textId="77777777" w:rsidTr="00977D9D">
        <w:tc>
          <w:tcPr>
            <w:tcW w:w="3618" w:type="dxa"/>
          </w:tcPr>
          <w:p w14:paraId="77F47C6E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1.500 – 1.549</w:t>
            </w:r>
          </w:p>
        </w:tc>
        <w:tc>
          <w:tcPr>
            <w:tcW w:w="3780" w:type="dxa"/>
          </w:tcPr>
          <w:p w14:paraId="79568517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.505</w:t>
            </w:r>
          </w:p>
        </w:tc>
      </w:tr>
      <w:tr w:rsidR="0077552D" w:rsidRPr="00EB5F06" w14:paraId="69864ABF" w14:textId="77777777" w:rsidTr="00977D9D">
        <w:tc>
          <w:tcPr>
            <w:tcW w:w="3618" w:type="dxa"/>
          </w:tcPr>
          <w:p w14:paraId="3D5B8269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1.550 – 1.599</w:t>
            </w:r>
          </w:p>
        </w:tc>
        <w:tc>
          <w:tcPr>
            <w:tcW w:w="3780" w:type="dxa"/>
          </w:tcPr>
          <w:p w14:paraId="7AA6BBF9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.510</w:t>
            </w:r>
          </w:p>
        </w:tc>
      </w:tr>
      <w:tr w:rsidR="0077552D" w:rsidRPr="00EB5F06" w14:paraId="023849CE" w14:textId="77777777" w:rsidTr="00977D9D">
        <w:tc>
          <w:tcPr>
            <w:tcW w:w="3618" w:type="dxa"/>
          </w:tcPr>
          <w:p w14:paraId="5FEE7500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1.600 – 1.649</w:t>
            </w:r>
          </w:p>
        </w:tc>
        <w:tc>
          <w:tcPr>
            <w:tcW w:w="3780" w:type="dxa"/>
          </w:tcPr>
          <w:p w14:paraId="5A0B6541" w14:textId="77777777" w:rsidR="0077552D" w:rsidRPr="00EB5F06" w:rsidRDefault="0077552D" w:rsidP="003003C7">
            <w:pPr>
              <w:pStyle w:val="NoSpacing"/>
              <w:jc w:val="center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.515</w:t>
            </w:r>
          </w:p>
        </w:tc>
      </w:tr>
    </w:tbl>
    <w:p w14:paraId="4474197C" w14:textId="77777777" w:rsidR="009D33B3" w:rsidRPr="00EB5F06" w:rsidRDefault="003003C7" w:rsidP="001B5A3E">
      <w:pPr>
        <w:pStyle w:val="NoSpacing"/>
        <w:ind w:left="-288" w:firstLine="0"/>
        <w:rPr>
          <w:rFonts w:ascii="Arial" w:hAnsi="Arial" w:cs="Arial"/>
        </w:rPr>
      </w:pPr>
      <w:r w:rsidRPr="00EB5F06">
        <w:rPr>
          <w:rFonts w:ascii="Arial" w:hAnsi="Arial" w:cs="Arial"/>
        </w:rPr>
        <w:br w:type="textWrapping" w:clear="all"/>
      </w:r>
    </w:p>
    <w:p w14:paraId="350285FD" w14:textId="77777777" w:rsidR="007C040A" w:rsidRPr="00EB5F06" w:rsidRDefault="001B5A3E" w:rsidP="001B5A3E">
      <w:pPr>
        <w:pStyle w:val="NoSpacing"/>
        <w:ind w:left="-288" w:firstLine="0"/>
        <w:rPr>
          <w:rFonts w:ascii="Arial" w:hAnsi="Arial" w:cs="Arial"/>
        </w:rPr>
      </w:pPr>
      <w:r w:rsidRPr="00EB5F06">
        <w:rPr>
          <w:rFonts w:ascii="Arial" w:hAnsi="Arial" w:cs="Arial"/>
        </w:rPr>
        <w:t>Note:  Unionized employees should refer to their Collective Agreement for specific entitlements.  Since the collective agreements for some Unions have their rate tied to the non-union rate; these employees will also receive the sliding scale per kilometre reimbursement.</w:t>
      </w:r>
    </w:p>
    <w:sectPr w:rsidR="007C040A" w:rsidRPr="00EB5F06" w:rsidSect="00F72463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0962" w14:textId="77777777" w:rsidR="00F206F5" w:rsidRDefault="00F206F5" w:rsidP="00451D2E">
      <w:r>
        <w:separator/>
      </w:r>
    </w:p>
    <w:p w14:paraId="1AD9B292" w14:textId="77777777" w:rsidR="00F206F5" w:rsidRDefault="00F206F5" w:rsidP="00451D2E"/>
    <w:p w14:paraId="2CA446D5" w14:textId="77777777" w:rsidR="00F206F5" w:rsidRDefault="00F206F5" w:rsidP="00451D2E"/>
  </w:endnote>
  <w:endnote w:type="continuationSeparator" w:id="0">
    <w:p w14:paraId="2DF50061" w14:textId="77777777" w:rsidR="00F206F5" w:rsidRDefault="00F206F5" w:rsidP="00451D2E">
      <w:r>
        <w:continuationSeparator/>
      </w:r>
    </w:p>
    <w:p w14:paraId="2B1C5AB0" w14:textId="77777777" w:rsidR="00F206F5" w:rsidRDefault="00F206F5" w:rsidP="00451D2E"/>
    <w:p w14:paraId="79CFD66B" w14:textId="77777777" w:rsidR="00F206F5" w:rsidRDefault="00F206F5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93EC" w14:textId="77777777" w:rsidR="00F206F5" w:rsidRDefault="00F206F5" w:rsidP="00451D2E">
      <w:r>
        <w:separator/>
      </w:r>
    </w:p>
    <w:p w14:paraId="21F08939" w14:textId="77777777" w:rsidR="00F206F5" w:rsidRDefault="00F206F5" w:rsidP="00451D2E"/>
    <w:p w14:paraId="23CD03EF" w14:textId="77777777" w:rsidR="00F206F5" w:rsidRDefault="00F206F5" w:rsidP="00451D2E"/>
  </w:footnote>
  <w:footnote w:type="continuationSeparator" w:id="0">
    <w:p w14:paraId="66F6E2AE" w14:textId="77777777" w:rsidR="00F206F5" w:rsidRDefault="00F206F5" w:rsidP="00451D2E">
      <w:r>
        <w:continuationSeparator/>
      </w:r>
    </w:p>
    <w:p w14:paraId="2863258C" w14:textId="77777777" w:rsidR="00F206F5" w:rsidRDefault="00F206F5" w:rsidP="00451D2E"/>
    <w:p w14:paraId="7EA43AC1" w14:textId="77777777" w:rsidR="00F206F5" w:rsidRDefault="00F206F5" w:rsidP="0045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BC4"/>
    <w:multiLevelType w:val="hybridMultilevel"/>
    <w:tmpl w:val="A214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875"/>
    <w:multiLevelType w:val="hybridMultilevel"/>
    <w:tmpl w:val="B980D9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4C51"/>
    <w:rsid w:val="0000771A"/>
    <w:rsid w:val="00023E2B"/>
    <w:rsid w:val="00027D4E"/>
    <w:rsid w:val="00030738"/>
    <w:rsid w:val="00035834"/>
    <w:rsid w:val="00037B55"/>
    <w:rsid w:val="00050E57"/>
    <w:rsid w:val="00075BEB"/>
    <w:rsid w:val="000A3583"/>
    <w:rsid w:val="000A6C05"/>
    <w:rsid w:val="000B3FA4"/>
    <w:rsid w:val="000C7E02"/>
    <w:rsid w:val="000E6E7E"/>
    <w:rsid w:val="000F2217"/>
    <w:rsid w:val="000F3C3E"/>
    <w:rsid w:val="00102C57"/>
    <w:rsid w:val="00111DF3"/>
    <w:rsid w:val="00115B32"/>
    <w:rsid w:val="00133654"/>
    <w:rsid w:val="0015342D"/>
    <w:rsid w:val="00153ABC"/>
    <w:rsid w:val="001735F7"/>
    <w:rsid w:val="001738CF"/>
    <w:rsid w:val="00190111"/>
    <w:rsid w:val="00194118"/>
    <w:rsid w:val="001B1050"/>
    <w:rsid w:val="001B162D"/>
    <w:rsid w:val="001B5A3E"/>
    <w:rsid w:val="001C3BF9"/>
    <w:rsid w:val="001E1436"/>
    <w:rsid w:val="002119EA"/>
    <w:rsid w:val="002158EC"/>
    <w:rsid w:val="002169E2"/>
    <w:rsid w:val="0025712A"/>
    <w:rsid w:val="002C6966"/>
    <w:rsid w:val="002E1E4F"/>
    <w:rsid w:val="002F2A98"/>
    <w:rsid w:val="002F7ED9"/>
    <w:rsid w:val="003003C7"/>
    <w:rsid w:val="00302118"/>
    <w:rsid w:val="00302AD0"/>
    <w:rsid w:val="00334660"/>
    <w:rsid w:val="003349C4"/>
    <w:rsid w:val="0035710F"/>
    <w:rsid w:val="0036430A"/>
    <w:rsid w:val="003645FF"/>
    <w:rsid w:val="00364C81"/>
    <w:rsid w:val="00374F3B"/>
    <w:rsid w:val="00375A1B"/>
    <w:rsid w:val="00377314"/>
    <w:rsid w:val="003A1897"/>
    <w:rsid w:val="003C4A45"/>
    <w:rsid w:val="003D6D32"/>
    <w:rsid w:val="003F113A"/>
    <w:rsid w:val="00405CDD"/>
    <w:rsid w:val="00413FF4"/>
    <w:rsid w:val="00416122"/>
    <w:rsid w:val="00420AF1"/>
    <w:rsid w:val="00423356"/>
    <w:rsid w:val="00425C92"/>
    <w:rsid w:val="0043193A"/>
    <w:rsid w:val="00434413"/>
    <w:rsid w:val="00436562"/>
    <w:rsid w:val="004377BC"/>
    <w:rsid w:val="00451D2E"/>
    <w:rsid w:val="00455C65"/>
    <w:rsid w:val="00465B75"/>
    <w:rsid w:val="00475D0D"/>
    <w:rsid w:val="00486F1D"/>
    <w:rsid w:val="004B3EFF"/>
    <w:rsid w:val="004B71E7"/>
    <w:rsid w:val="004F69CE"/>
    <w:rsid w:val="00512133"/>
    <w:rsid w:val="00535950"/>
    <w:rsid w:val="00536952"/>
    <w:rsid w:val="00550BEE"/>
    <w:rsid w:val="00551219"/>
    <w:rsid w:val="0056234B"/>
    <w:rsid w:val="00565ABF"/>
    <w:rsid w:val="0058319F"/>
    <w:rsid w:val="00584C27"/>
    <w:rsid w:val="005A551E"/>
    <w:rsid w:val="005C07B0"/>
    <w:rsid w:val="005C66C8"/>
    <w:rsid w:val="00602909"/>
    <w:rsid w:val="006034D0"/>
    <w:rsid w:val="00605940"/>
    <w:rsid w:val="006069CB"/>
    <w:rsid w:val="0061086A"/>
    <w:rsid w:val="0061780F"/>
    <w:rsid w:val="006503AB"/>
    <w:rsid w:val="006516EC"/>
    <w:rsid w:val="006570B4"/>
    <w:rsid w:val="006604C1"/>
    <w:rsid w:val="00665687"/>
    <w:rsid w:val="00670AC8"/>
    <w:rsid w:val="00693F5A"/>
    <w:rsid w:val="006A1104"/>
    <w:rsid w:val="006E2598"/>
    <w:rsid w:val="006E7CF3"/>
    <w:rsid w:val="006F3AA0"/>
    <w:rsid w:val="00705BB2"/>
    <w:rsid w:val="00713AD7"/>
    <w:rsid w:val="00720998"/>
    <w:rsid w:val="00721CC3"/>
    <w:rsid w:val="00743233"/>
    <w:rsid w:val="00747F29"/>
    <w:rsid w:val="00752A92"/>
    <w:rsid w:val="00756205"/>
    <w:rsid w:val="0077552D"/>
    <w:rsid w:val="007A0266"/>
    <w:rsid w:val="007B5181"/>
    <w:rsid w:val="007C01F6"/>
    <w:rsid w:val="007C040A"/>
    <w:rsid w:val="007D7AF4"/>
    <w:rsid w:val="00815DCE"/>
    <w:rsid w:val="00825CB9"/>
    <w:rsid w:val="00834A16"/>
    <w:rsid w:val="00872C3F"/>
    <w:rsid w:val="008872FA"/>
    <w:rsid w:val="008A370D"/>
    <w:rsid w:val="008B07EE"/>
    <w:rsid w:val="008B19CB"/>
    <w:rsid w:val="008C332F"/>
    <w:rsid w:val="008E76F7"/>
    <w:rsid w:val="008F2462"/>
    <w:rsid w:val="00916346"/>
    <w:rsid w:val="00920CD1"/>
    <w:rsid w:val="00937A17"/>
    <w:rsid w:val="00945C77"/>
    <w:rsid w:val="009534BE"/>
    <w:rsid w:val="009570EB"/>
    <w:rsid w:val="0096088C"/>
    <w:rsid w:val="009651E7"/>
    <w:rsid w:val="00973245"/>
    <w:rsid w:val="00977D9D"/>
    <w:rsid w:val="009B1903"/>
    <w:rsid w:val="009D1010"/>
    <w:rsid w:val="009D33B3"/>
    <w:rsid w:val="009D64B0"/>
    <w:rsid w:val="009E3BBD"/>
    <w:rsid w:val="009E4D6D"/>
    <w:rsid w:val="009F2557"/>
    <w:rsid w:val="009F6672"/>
    <w:rsid w:val="00A157D6"/>
    <w:rsid w:val="00A15DF6"/>
    <w:rsid w:val="00A311CB"/>
    <w:rsid w:val="00A50E17"/>
    <w:rsid w:val="00A85E95"/>
    <w:rsid w:val="00A86DED"/>
    <w:rsid w:val="00AA663C"/>
    <w:rsid w:val="00AA6981"/>
    <w:rsid w:val="00AA7986"/>
    <w:rsid w:val="00AB0AB4"/>
    <w:rsid w:val="00AB3A9E"/>
    <w:rsid w:val="00AB7D1A"/>
    <w:rsid w:val="00AD13EA"/>
    <w:rsid w:val="00AF1AA5"/>
    <w:rsid w:val="00B06127"/>
    <w:rsid w:val="00B123AB"/>
    <w:rsid w:val="00B467B6"/>
    <w:rsid w:val="00B47253"/>
    <w:rsid w:val="00B50007"/>
    <w:rsid w:val="00B70F6F"/>
    <w:rsid w:val="00B95351"/>
    <w:rsid w:val="00BA49B0"/>
    <w:rsid w:val="00BA5614"/>
    <w:rsid w:val="00BC188D"/>
    <w:rsid w:val="00BD62C7"/>
    <w:rsid w:val="00BF7279"/>
    <w:rsid w:val="00C01948"/>
    <w:rsid w:val="00C05155"/>
    <w:rsid w:val="00C0770E"/>
    <w:rsid w:val="00C124CD"/>
    <w:rsid w:val="00C2345E"/>
    <w:rsid w:val="00C46647"/>
    <w:rsid w:val="00C51A24"/>
    <w:rsid w:val="00C523D9"/>
    <w:rsid w:val="00C60486"/>
    <w:rsid w:val="00C70F57"/>
    <w:rsid w:val="00C742B4"/>
    <w:rsid w:val="00C77D6F"/>
    <w:rsid w:val="00C8253C"/>
    <w:rsid w:val="00C847DE"/>
    <w:rsid w:val="00C872CA"/>
    <w:rsid w:val="00CA35AA"/>
    <w:rsid w:val="00CF1249"/>
    <w:rsid w:val="00CF7FF7"/>
    <w:rsid w:val="00D11408"/>
    <w:rsid w:val="00D115F0"/>
    <w:rsid w:val="00D16ABF"/>
    <w:rsid w:val="00D2318E"/>
    <w:rsid w:val="00D245B4"/>
    <w:rsid w:val="00D477E4"/>
    <w:rsid w:val="00D55821"/>
    <w:rsid w:val="00DE3EBC"/>
    <w:rsid w:val="00E0695A"/>
    <w:rsid w:val="00E144F8"/>
    <w:rsid w:val="00E14987"/>
    <w:rsid w:val="00E45C80"/>
    <w:rsid w:val="00E54027"/>
    <w:rsid w:val="00E56D81"/>
    <w:rsid w:val="00E62DA0"/>
    <w:rsid w:val="00E7069F"/>
    <w:rsid w:val="00E71083"/>
    <w:rsid w:val="00E849B7"/>
    <w:rsid w:val="00E90985"/>
    <w:rsid w:val="00E97176"/>
    <w:rsid w:val="00EA1B04"/>
    <w:rsid w:val="00EB5F06"/>
    <w:rsid w:val="00ED3F0E"/>
    <w:rsid w:val="00ED5E47"/>
    <w:rsid w:val="00F02D0C"/>
    <w:rsid w:val="00F071B9"/>
    <w:rsid w:val="00F07E67"/>
    <w:rsid w:val="00F170FC"/>
    <w:rsid w:val="00F206F5"/>
    <w:rsid w:val="00F256AB"/>
    <w:rsid w:val="00F67A2C"/>
    <w:rsid w:val="00F71682"/>
    <w:rsid w:val="00F72463"/>
    <w:rsid w:val="00F73245"/>
    <w:rsid w:val="00F94F4B"/>
    <w:rsid w:val="00FA650D"/>
    <w:rsid w:val="00FC56D7"/>
    <w:rsid w:val="00FC7413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DB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11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11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EC579C84EF7EB2418F1A5B16BD0C4F9E" ma:contentTypeVersion="820" ma:contentTypeDescription="" ma:contentTypeScope="" ma:versionID="af33fa29ae54af8fc13f7aa4a23bba85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GC_108874851</documentNumber>
    <Municipality xmlns="e6cd7bd4-3f3e-4495-b8c9-139289cd76e6" xsi:nil="true"/>
    <gcNumber xmlns="e6cd7bd4-3f3e-4495-b8c9-139289cd76e6" xsi:nil="true"/>
    <recordCategory xmlns="e6cd7bd4-3f3e-4495-b8c9-139289cd76e6">F09</recordCategory>
    <isPublic xmlns="e6cd7bd4-3f3e-4495-b8c9-139289cd76e6">true</isPublic>
    <sharedId xmlns="e6cd7bd4-3f3e-4495-b8c9-139289cd76e6">v7ewDqPvTMKKb0HI4iR4_A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8573d8a9-907a-481e-ae33-cde08b79ae04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76248A15-B230-4BEE-A6A1-E41F477D7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1483E-CBD9-4288-9691-2039E3A183A8}"/>
</file>

<file path=customXml/itemProps3.xml><?xml version="1.0" encoding="utf-8"?>
<ds:datastoreItem xmlns:ds="http://schemas.openxmlformats.org/officeDocument/2006/customXml" ds:itemID="{65C2F0E2-0D49-470E-83EE-A0862E56BB48}"/>
</file>

<file path=customXml/itemProps4.xml><?xml version="1.0" encoding="utf-8"?>
<ds:datastoreItem xmlns:ds="http://schemas.openxmlformats.org/officeDocument/2006/customXml" ds:itemID="{8AFA851C-E140-4A4D-87E9-C76E3A251B46}"/>
</file>

<file path=customXml/itemProps5.xml><?xml version="1.0" encoding="utf-8"?>
<ds:datastoreItem xmlns:ds="http://schemas.openxmlformats.org/officeDocument/2006/customXml" ds:itemID="{CCD3A508-E543-456C-8761-DD04F1234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Elder, Nancy</cp:lastModifiedBy>
  <cp:revision>2</cp:revision>
  <cp:lastPrinted>2018-10-03T19:56:00Z</cp:lastPrinted>
  <dcterms:created xsi:type="dcterms:W3CDTF">2018-10-04T13:39:00Z</dcterms:created>
  <dcterms:modified xsi:type="dcterms:W3CDTF">2018-10-04T13:39:00Z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0x0101002C4164E063A41A4487A7365A660F11180100EC579C84EF7EB2418F1A5B16BD0C4F9E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