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51" w:rsidRDefault="006F7C51" w:rsidP="006F7C51">
      <w:pPr>
        <w:jc w:val="center"/>
      </w:pPr>
      <w:r w:rsidRPr="00E77FF0">
        <w:rPr>
          <w:noProof/>
          <w:lang w:val="en-CA" w:eastAsia="en-CA"/>
        </w:rPr>
        <w:drawing>
          <wp:inline distT="0" distB="0" distL="0" distR="0" wp14:anchorId="3E992FBC" wp14:editId="15C9177E">
            <wp:extent cx="1476375" cy="1000125"/>
            <wp:effectExtent l="0" t="0" r="9525" b="9525"/>
            <wp:docPr id="1" name="Picture 1" descr="Grey Roo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p>
    <w:p w:rsidR="00883D8D" w:rsidRDefault="00A6072B" w:rsidP="006F7C51">
      <w:pPr>
        <w:pStyle w:val="Title"/>
        <w:jc w:val="center"/>
      </w:pPr>
      <w:r>
        <w:t>Grey Roots Governance Procedure</w:t>
      </w:r>
    </w:p>
    <w:p w:rsidR="00883D8D" w:rsidRDefault="00883D8D"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sidR="009016EE">
        <w:rPr>
          <w:rFonts w:asciiTheme="minorHAnsi" w:hAnsiTheme="minorHAnsi"/>
        </w:rPr>
        <w:t xml:space="preserve">:  </w:t>
      </w:r>
      <w:r w:rsidR="00B77D37">
        <w:rPr>
          <w:rFonts w:asciiTheme="minorHAnsi" w:hAnsiTheme="minorHAnsi"/>
        </w:rPr>
        <w:t>County Council</w:t>
      </w:r>
    </w:p>
    <w:p w:rsidR="00883D8D" w:rsidRDefault="00A6072B" w:rsidP="00883D8D">
      <w:pPr>
        <w:pStyle w:val="NoSpacing"/>
        <w:tabs>
          <w:tab w:val="left" w:pos="4320"/>
        </w:tabs>
        <w:spacing w:line="276" w:lineRule="auto"/>
        <w:rPr>
          <w:rFonts w:asciiTheme="minorHAnsi" w:hAnsiTheme="minorHAnsi"/>
        </w:rPr>
      </w:pPr>
      <w:r>
        <w:rPr>
          <w:rFonts w:asciiTheme="minorHAnsi" w:hAnsiTheme="minorHAnsi"/>
          <w:b/>
        </w:rPr>
        <w:t>Date Approved</w:t>
      </w:r>
      <w:r w:rsidR="00883D8D">
        <w:rPr>
          <w:rFonts w:asciiTheme="minorHAnsi" w:hAnsiTheme="minorHAnsi"/>
        </w:rPr>
        <w:t xml:space="preserve">:  </w:t>
      </w:r>
      <w:r w:rsidR="00B77D37">
        <w:rPr>
          <w:rFonts w:asciiTheme="minorHAnsi" w:hAnsiTheme="minorHAnsi"/>
        </w:rPr>
        <w:t>July 2, 2013</w:t>
      </w:r>
      <w:r w:rsidR="00883D8D">
        <w:rPr>
          <w:rFonts w:asciiTheme="minorHAnsi" w:hAnsiTheme="minorHAnsi"/>
        </w:rPr>
        <w:tab/>
      </w:r>
      <w:r>
        <w:rPr>
          <w:rStyle w:val="Strong"/>
          <w:rFonts w:asciiTheme="minorHAnsi" w:hAnsiTheme="minorHAnsi"/>
        </w:rPr>
        <w:t>Last Modified Date</w:t>
      </w:r>
      <w:r w:rsidR="009016EE">
        <w:rPr>
          <w:rFonts w:asciiTheme="minorHAnsi" w:hAnsiTheme="minorHAnsi"/>
        </w:rPr>
        <w:t xml:space="preserve">:  </w:t>
      </w:r>
      <w:r w:rsidR="00B77D37">
        <w:rPr>
          <w:rFonts w:asciiTheme="minorHAnsi" w:hAnsiTheme="minorHAnsi"/>
        </w:rPr>
        <w:t>N/A</w:t>
      </w:r>
    </w:p>
    <w:p w:rsidR="00883D8D" w:rsidRDefault="00A6072B" w:rsidP="00883D8D">
      <w:pPr>
        <w:pStyle w:val="NoSpacing"/>
        <w:tabs>
          <w:tab w:val="left" w:pos="4320"/>
        </w:tabs>
        <w:spacing w:after="240" w:line="276" w:lineRule="auto"/>
        <w:rPr>
          <w:rFonts w:asciiTheme="minorHAnsi" w:hAnsiTheme="minorHAnsi"/>
        </w:rPr>
      </w:pPr>
      <w:r>
        <w:rPr>
          <w:rStyle w:val="Strong"/>
          <w:rFonts w:asciiTheme="minorHAnsi" w:hAnsiTheme="minorHAnsi"/>
        </w:rPr>
        <w:t>Replaces</w:t>
      </w:r>
      <w:r w:rsidR="00883D8D">
        <w:rPr>
          <w:rFonts w:asciiTheme="minorHAnsi" w:hAnsiTheme="minorHAnsi"/>
        </w:rPr>
        <w:t xml:space="preserve">: </w:t>
      </w:r>
      <w:r w:rsidR="000774AD">
        <w:rPr>
          <w:rFonts w:asciiTheme="minorHAnsi" w:hAnsiTheme="minorHAnsi"/>
        </w:rPr>
        <w:t>N/A</w:t>
      </w:r>
      <w:r>
        <w:rPr>
          <w:rFonts w:asciiTheme="minorHAnsi" w:hAnsiTheme="minorHAnsi"/>
        </w:rPr>
        <w:tab/>
      </w:r>
      <w:r w:rsidRPr="00A6072B">
        <w:rPr>
          <w:rFonts w:asciiTheme="minorHAnsi" w:hAnsiTheme="minorHAnsi"/>
          <w:b/>
        </w:rPr>
        <w:t>Scheduled for Review by:</w:t>
      </w:r>
      <w:r w:rsidR="000774AD">
        <w:rPr>
          <w:rFonts w:asciiTheme="minorHAnsi" w:hAnsiTheme="minorHAnsi"/>
          <w:b/>
        </w:rPr>
        <w:t xml:space="preserve">  2018</w:t>
      </w:r>
    </w:p>
    <w:p w:rsidR="00883D8D" w:rsidRPr="00E32F4D" w:rsidRDefault="00A6072B" w:rsidP="00883D8D">
      <w:pPr>
        <w:pStyle w:val="NoSpacing"/>
        <w:tabs>
          <w:tab w:val="left" w:pos="4320"/>
        </w:tabs>
        <w:spacing w:line="276" w:lineRule="auto"/>
        <w:rPr>
          <w:rStyle w:val="Strong"/>
          <w:b w:val="0"/>
          <w:bCs w:val="0"/>
        </w:rPr>
      </w:pPr>
      <w:r>
        <w:rPr>
          <w:rStyle w:val="Strong"/>
          <w:rFonts w:asciiTheme="minorHAnsi" w:hAnsiTheme="minorHAnsi"/>
        </w:rPr>
        <w:t>Procedure</w:t>
      </w:r>
      <w:r w:rsidR="00883D8D">
        <w:rPr>
          <w:rStyle w:val="Strong"/>
          <w:rFonts w:asciiTheme="minorHAnsi" w:hAnsiTheme="minorHAnsi"/>
        </w:rPr>
        <w:t xml:space="preserve"> Number: </w:t>
      </w:r>
      <w:r>
        <w:rPr>
          <w:rStyle w:val="Strong"/>
          <w:rFonts w:asciiTheme="minorHAnsi" w:hAnsiTheme="minorHAnsi"/>
        </w:rPr>
        <w:t>MS-GR-00</w:t>
      </w:r>
      <w:r w:rsidR="00694595">
        <w:rPr>
          <w:rStyle w:val="Strong"/>
          <w:rFonts w:asciiTheme="minorHAnsi" w:hAnsiTheme="minorHAnsi"/>
        </w:rPr>
        <w:t>1</w:t>
      </w:r>
      <w:r>
        <w:rPr>
          <w:rStyle w:val="Strong"/>
          <w:rFonts w:asciiTheme="minorHAnsi" w:hAnsiTheme="minorHAnsi"/>
        </w:rPr>
        <w:t xml:space="preserve">-001 </w:t>
      </w:r>
      <w:r>
        <w:rPr>
          <w:rStyle w:val="Strong"/>
          <w:rFonts w:asciiTheme="minorHAnsi" w:hAnsiTheme="minorHAnsi"/>
        </w:rPr>
        <w:tab/>
        <w:t>Parent Policy</w:t>
      </w:r>
      <w:r w:rsidR="00883D8D">
        <w:rPr>
          <w:rStyle w:val="Strong"/>
          <w:rFonts w:asciiTheme="minorHAnsi" w:hAnsiTheme="minorHAnsi"/>
        </w:rPr>
        <w:t>:</w:t>
      </w:r>
      <w:r>
        <w:rPr>
          <w:rStyle w:val="Strong"/>
          <w:rFonts w:asciiTheme="minorHAnsi" w:hAnsiTheme="minorHAnsi"/>
        </w:rPr>
        <w:t xml:space="preserve"> MS-GR-00</w:t>
      </w:r>
      <w:r w:rsidR="00694595">
        <w:rPr>
          <w:rStyle w:val="Strong"/>
          <w:rFonts w:asciiTheme="minorHAnsi" w:hAnsiTheme="minorHAnsi"/>
        </w:rPr>
        <w:t>1</w:t>
      </w:r>
    </w:p>
    <w:p w:rsidR="00883D8D" w:rsidRPr="00E32F4D" w:rsidRDefault="00A6072B"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Author</w:t>
      </w:r>
      <w:r w:rsidR="00883D8D">
        <w:rPr>
          <w:rStyle w:val="Strong"/>
          <w:rFonts w:asciiTheme="minorHAnsi" w:hAnsiTheme="minorHAnsi"/>
        </w:rPr>
        <w:t>:</w:t>
      </w:r>
      <w:r>
        <w:rPr>
          <w:rStyle w:val="Strong"/>
          <w:rFonts w:asciiTheme="minorHAnsi" w:hAnsiTheme="minorHAnsi"/>
        </w:rPr>
        <w:t xml:space="preserve"> </w:t>
      </w:r>
      <w:r w:rsidR="00B77D37">
        <w:rPr>
          <w:rStyle w:val="Strong"/>
          <w:rFonts w:asciiTheme="minorHAnsi" w:hAnsiTheme="minorHAnsi"/>
        </w:rPr>
        <w:t xml:space="preserve"> Grey Roots Museum and Archives</w:t>
      </w:r>
      <w:bookmarkStart w:id="0" w:name="_GoBack"/>
      <w:bookmarkEnd w:id="0"/>
    </w:p>
    <w:p w:rsidR="00023E69" w:rsidRDefault="00883D8D" w:rsidP="00023E69">
      <w:pPr>
        <w:pStyle w:val="NoSpacing"/>
        <w:tabs>
          <w:tab w:val="left" w:pos="720"/>
        </w:tabs>
        <w:rPr>
          <w:rStyle w:val="Strong"/>
          <w:rFonts w:asciiTheme="minorHAnsi" w:hAnsiTheme="minorHAnsi"/>
        </w:rPr>
      </w:pPr>
      <w:r>
        <w:rPr>
          <w:rStyle w:val="Strong"/>
          <w:rFonts w:asciiTheme="minorHAnsi" w:hAnsiTheme="minorHAnsi"/>
        </w:rPr>
        <w:t>References and Related Documents</w:t>
      </w:r>
    </w:p>
    <w:p w:rsidR="00023E69" w:rsidRDefault="00023E69" w:rsidP="00023E69">
      <w:pPr>
        <w:pStyle w:val="NoSpacing"/>
        <w:tabs>
          <w:tab w:val="left" w:pos="720"/>
        </w:tabs>
        <w:rPr>
          <w:rStyle w:val="Strong"/>
          <w:rFonts w:asciiTheme="minorHAnsi" w:hAnsiTheme="minorHAnsi"/>
          <w:bCs w:val="0"/>
        </w:rPr>
      </w:pPr>
      <w:r>
        <w:rPr>
          <w:rStyle w:val="Strong"/>
          <w:rFonts w:asciiTheme="minorHAnsi" w:hAnsiTheme="minorHAnsi"/>
        </w:rPr>
        <w:tab/>
      </w:r>
      <w:hyperlink r:id="rId10" w:tooltip="Grey Roots Governance Policy" w:history="1">
        <w:r>
          <w:rPr>
            <w:rStyle w:val="Hyperlink"/>
            <w:rFonts w:asciiTheme="minorHAnsi" w:hAnsiTheme="minorHAnsi"/>
          </w:rPr>
          <w:t>Grey Roots Governance Policy</w:t>
        </w:r>
      </w:hyperlink>
    </w:p>
    <w:p w:rsidR="00D924AE" w:rsidRPr="00EF625A" w:rsidRDefault="00B77D37" w:rsidP="00D924AE">
      <w:pPr>
        <w:pStyle w:val="ListParagraph"/>
        <w:rPr>
          <w:rStyle w:val="Strong"/>
          <w:b w:val="0"/>
          <w:bCs w:val="0"/>
        </w:rPr>
      </w:pPr>
      <w:hyperlink r:id="rId11" w:tooltip="ADM-09-08 Code of Conduct for Councillors" w:history="1">
        <w:r w:rsidR="00D924AE">
          <w:rPr>
            <w:rStyle w:val="Hyperlink"/>
          </w:rPr>
          <w:t xml:space="preserve">ADM-09-08 Code of Conduct for </w:t>
        </w:r>
        <w:proofErr w:type="spellStart"/>
        <w:r w:rsidR="00D924AE">
          <w:rPr>
            <w:rStyle w:val="Hyperlink"/>
          </w:rPr>
          <w:t>Councillors</w:t>
        </w:r>
        <w:proofErr w:type="spellEnd"/>
      </w:hyperlink>
      <w:r w:rsidR="00D924AE" w:rsidRPr="00EF625A">
        <w:rPr>
          <w:rStyle w:val="Strong"/>
          <w:b w:val="0"/>
          <w:bCs w:val="0"/>
        </w:rPr>
        <w:t xml:space="preserve"> </w:t>
      </w:r>
    </w:p>
    <w:p w:rsidR="00D924AE" w:rsidRDefault="00B77D37" w:rsidP="00D924AE">
      <w:pPr>
        <w:pStyle w:val="ListParagraph"/>
      </w:pPr>
      <w:hyperlink r:id="rId12" w:tooltip="By-law 4775-12 Procedural By-law" w:history="1">
        <w:r w:rsidR="00D924AE">
          <w:rPr>
            <w:rStyle w:val="Hyperlink"/>
          </w:rPr>
          <w:t>By-law 4775-12 Procedural By-law</w:t>
        </w:r>
      </w:hyperlink>
    </w:p>
    <w:p w:rsidR="00D924AE" w:rsidRDefault="00B77D37" w:rsidP="00D924AE">
      <w:pPr>
        <w:pStyle w:val="ListParagraph"/>
      </w:pPr>
      <w:hyperlink r:id="rId13" w:tooltip="Freedom of Information Requests Procedure" w:history="1">
        <w:r w:rsidR="00D924AE">
          <w:rPr>
            <w:rStyle w:val="Hyperlink"/>
          </w:rPr>
          <w:t>Freedom of Information Requests Procedure</w:t>
        </w:r>
      </w:hyperlink>
    </w:p>
    <w:p w:rsidR="00D924AE" w:rsidRPr="00405423" w:rsidRDefault="00D924AE" w:rsidP="00D924AE">
      <w:pPr>
        <w:pStyle w:val="ListParagraph"/>
        <w:rPr>
          <w:rStyle w:val="Hyperlink"/>
          <w:highlight w:val="yellow"/>
        </w:rPr>
      </w:pPr>
      <w:r w:rsidRPr="00405423">
        <w:rPr>
          <w:highlight w:val="yellow"/>
        </w:rPr>
        <w:fldChar w:fldCharType="begin"/>
      </w:r>
      <w:r w:rsidR="003F12C3">
        <w:rPr>
          <w:highlight w:val="yellow"/>
        </w:rPr>
        <w:instrText>HYPERLINK "https://greydocs.ca/urm/groups/public/documents/greypoliciesold/z2nf/mdi5/~edisp/gc_029111.pdf" \o "MS-GR-005 Acquisitions Policy"</w:instrText>
      </w:r>
      <w:r w:rsidRPr="00405423">
        <w:rPr>
          <w:highlight w:val="yellow"/>
        </w:rPr>
        <w:fldChar w:fldCharType="separate"/>
      </w:r>
      <w:r w:rsidRPr="003F12C3">
        <w:rPr>
          <w:rStyle w:val="Hyperlink"/>
        </w:rPr>
        <w:t>GR-</w:t>
      </w:r>
      <w:r w:rsidR="003F12C3" w:rsidRPr="003F12C3">
        <w:rPr>
          <w:rStyle w:val="Hyperlink"/>
        </w:rPr>
        <w:t>02-07</w:t>
      </w:r>
      <w:r w:rsidRPr="003F12C3">
        <w:rPr>
          <w:rStyle w:val="Hyperlink"/>
        </w:rPr>
        <w:t xml:space="preserve"> Acquisitions Policy</w:t>
      </w:r>
    </w:p>
    <w:p w:rsidR="00D924AE" w:rsidRDefault="00D924AE" w:rsidP="00D924AE">
      <w:pPr>
        <w:pStyle w:val="ListParagraph"/>
        <w:rPr>
          <w:rStyle w:val="Hyperlink"/>
        </w:rPr>
      </w:pPr>
      <w:r w:rsidRPr="00405423">
        <w:rPr>
          <w:highlight w:val="yellow"/>
        </w:rPr>
        <w:fldChar w:fldCharType="end"/>
      </w:r>
      <w:hyperlink r:id="rId14" w:history="1">
        <w:r w:rsidRPr="00143140">
          <w:rPr>
            <w:rStyle w:val="Hyperlink"/>
          </w:rPr>
          <w:t>Municipal Freedom of Information and Protection of Privacy Act (MFIPPA)</w:t>
        </w:r>
      </w:hyperlink>
    </w:p>
    <w:p w:rsidR="00D924AE" w:rsidRDefault="00B77D37" w:rsidP="00D924AE">
      <w:pPr>
        <w:pStyle w:val="ListParagraph"/>
      </w:pPr>
      <w:hyperlink r:id="rId15" w:tooltip="Purchasing Policy" w:history="1">
        <w:r w:rsidR="00D924AE">
          <w:rPr>
            <w:rStyle w:val="Hyperlink"/>
          </w:rPr>
          <w:t>Purchasing Policy</w:t>
        </w:r>
      </w:hyperlink>
    </w:p>
    <w:p w:rsidR="00D924AE" w:rsidRPr="00EF625A" w:rsidRDefault="00B77D37" w:rsidP="00D924AE">
      <w:pPr>
        <w:pStyle w:val="ListParagraph"/>
        <w:rPr>
          <w:rStyle w:val="Hyperlink"/>
        </w:rPr>
      </w:pPr>
      <w:hyperlink r:id="rId16" w:tooltip=" Purchasing Procedure" w:history="1">
        <w:r w:rsidR="00D924AE">
          <w:rPr>
            <w:rStyle w:val="Hyperlink"/>
          </w:rPr>
          <w:t>Purchasing Procedure</w:t>
        </w:r>
      </w:hyperlink>
    </w:p>
    <w:p w:rsidR="00D924AE" w:rsidRPr="00405423" w:rsidRDefault="00B77D37" w:rsidP="00D924AE">
      <w:pPr>
        <w:pStyle w:val="ListParagraph"/>
        <w:rPr>
          <w:rStyle w:val="Hyperlink"/>
          <w:u w:val="none"/>
        </w:rPr>
      </w:pPr>
      <w:hyperlink r:id="rId17" w:history="1">
        <w:proofErr w:type="spellStart"/>
        <w:r w:rsidR="00D924AE" w:rsidRPr="009016EE">
          <w:rPr>
            <w:rStyle w:val="Hyperlink"/>
          </w:rPr>
          <w:t>Reg</w:t>
        </w:r>
        <w:proofErr w:type="spellEnd"/>
        <w:r w:rsidR="00D924AE" w:rsidRPr="009016EE">
          <w:rPr>
            <w:rStyle w:val="Hyperlink"/>
          </w:rPr>
          <w:t xml:space="preserve"> 877 of Ontario Heritage Act</w:t>
        </w:r>
      </w:hyperlink>
    </w:p>
    <w:p w:rsidR="00D924AE" w:rsidRDefault="00B77D37" w:rsidP="00D924AE">
      <w:pPr>
        <w:pStyle w:val="ListParagraph"/>
        <w:rPr>
          <w:rStyle w:val="Hyperlink"/>
        </w:rPr>
      </w:pPr>
      <w:hyperlink r:id="rId18" w:tooltip="Sale and Acquisition of Land Policy" w:history="1">
        <w:r w:rsidR="00D924AE">
          <w:rPr>
            <w:rStyle w:val="Hyperlink"/>
          </w:rPr>
          <w:t>Sale and Acquisition of Land Policy</w:t>
        </w:r>
      </w:hyperlink>
      <w:r w:rsidR="00D924AE">
        <w:fldChar w:fldCharType="begin"/>
      </w:r>
      <w:r w:rsidR="00D924AE">
        <w:instrText xml:space="preserve"> HYPERLINK "https://greydocs.ca/urm/idcplg?IdcService=GET_FILE&amp;dDocName=GC_038158&amp;RevisionSelectionMethod=LatestReleased&amp;Rendition=Web" \o " Section 5-10 Standards of Conduct" </w:instrText>
      </w:r>
      <w:r w:rsidR="00D924AE">
        <w:fldChar w:fldCharType="separate"/>
      </w:r>
      <w:r w:rsidR="00D924AE">
        <w:rPr>
          <w:rStyle w:val="Hyperlink"/>
        </w:rPr>
        <w:cr/>
      </w:r>
      <w:hyperlink r:id="rId19" w:tooltip="Section 2-90 Responsibility for Employee Hires" w:history="1">
        <w:r w:rsidR="00D924AE">
          <w:rPr>
            <w:rStyle w:val="Hyperlink"/>
          </w:rPr>
          <w:t>Section 2-90 Responsibility for Employee Hires</w:t>
        </w:r>
      </w:hyperlink>
    </w:p>
    <w:p w:rsidR="00D924AE" w:rsidRDefault="00D924AE" w:rsidP="00D924AE">
      <w:pPr>
        <w:pStyle w:val="ListParagraph"/>
        <w:rPr>
          <w:rStyle w:val="Hyperlink"/>
        </w:rPr>
      </w:pPr>
      <w:r>
        <w:rPr>
          <w:rStyle w:val="Hyperlink"/>
        </w:rPr>
        <w:t>Section 5-10 Employee Standards of Conduct</w:t>
      </w:r>
      <w:r>
        <w:rPr>
          <w:rStyle w:val="Hyperlink"/>
        </w:rPr>
        <w:fldChar w:fldCharType="end"/>
      </w:r>
    </w:p>
    <w:p w:rsidR="00D924AE" w:rsidRDefault="00B77D37" w:rsidP="009016EE">
      <w:pPr>
        <w:pStyle w:val="ListParagraph"/>
        <w:spacing w:after="240" w:line="240" w:lineRule="auto"/>
        <w:contextualSpacing w:val="0"/>
        <w:rPr>
          <w:rStyle w:val="Hyperlink"/>
        </w:rPr>
      </w:pPr>
      <w:hyperlink r:id="rId20" w:tooltip="Terms of Reference Planning and Community Development Committee" w:history="1">
        <w:r w:rsidR="00D924AE">
          <w:rPr>
            <w:rStyle w:val="Hyperlink"/>
          </w:rPr>
          <w:t>Terms of Reference Planning and Community Development Committee</w:t>
        </w:r>
      </w:hyperlink>
    </w:p>
    <w:p w:rsidR="00405423" w:rsidRDefault="00405423" w:rsidP="00405423">
      <w:pPr>
        <w:pStyle w:val="ListParagraph"/>
        <w:ind w:left="0"/>
        <w:rPr>
          <w:b/>
        </w:rPr>
      </w:pPr>
      <w:r>
        <w:rPr>
          <w:b/>
        </w:rPr>
        <w:t>Forms</w:t>
      </w:r>
    </w:p>
    <w:p w:rsidR="00405423" w:rsidRDefault="00B77D37" w:rsidP="00405423">
      <w:pPr>
        <w:pStyle w:val="ListParagraph"/>
        <w:rPr>
          <w:rStyle w:val="Hyperlink"/>
        </w:rPr>
      </w:pPr>
      <w:hyperlink r:id="rId21" w:tooltip="Grey Roots Volunteer Code of Conduct" w:history="1">
        <w:r w:rsidR="00405423">
          <w:rPr>
            <w:rStyle w:val="Hyperlink"/>
          </w:rPr>
          <w:t>Grey Roots Volunteer Code of Conduct</w:t>
        </w:r>
      </w:hyperlink>
    </w:p>
    <w:p w:rsidR="00405423" w:rsidRDefault="00B77D37" w:rsidP="00405423">
      <w:pPr>
        <w:pStyle w:val="ListParagraph"/>
        <w:rPr>
          <w:rStyle w:val="Hyperlink"/>
        </w:rPr>
      </w:pPr>
      <w:hyperlink r:id="rId22" w:tooltip="Volunteer Pledge of Confidentiality and Photo Release" w:history="1">
        <w:r w:rsidR="00405423">
          <w:rPr>
            <w:rStyle w:val="Hyperlink"/>
          </w:rPr>
          <w:t>Volunteer Pledge of Confidentiality and Photo Release</w:t>
        </w:r>
      </w:hyperlink>
    </w:p>
    <w:p w:rsidR="00883D8D" w:rsidRDefault="00883D8D" w:rsidP="00E32F4D">
      <w:pPr>
        <w:pStyle w:val="Heading2"/>
        <w:rPr>
          <w:rFonts w:ascii="HelveticaNeueLT Std Lt" w:hAnsi="HelveticaNeueLT Std Lt"/>
          <w:sz w:val="24"/>
          <w:szCs w:val="24"/>
        </w:rPr>
      </w:pPr>
      <w:r>
        <w:t>Purpose</w:t>
      </w:r>
    </w:p>
    <w:p w:rsidR="00A6072B" w:rsidRDefault="00A6072B" w:rsidP="00A6072B">
      <w:r>
        <w:t>This procedure addresses the requirements of the Standards for Community Museums in Ontario (Regulation 877 of the Ontario Heritage Act) managed by the Ministry of Culture, Tourism and Sport.</w:t>
      </w:r>
    </w:p>
    <w:p w:rsidR="00883D8D" w:rsidRDefault="00C35F07" w:rsidP="00883D8D">
      <w:r>
        <w:t xml:space="preserve">It </w:t>
      </w:r>
      <w:r w:rsidR="00A6072B" w:rsidRPr="00B31346">
        <w:t>outline</w:t>
      </w:r>
      <w:r>
        <w:t>s</w:t>
      </w:r>
      <w:r w:rsidR="00A6072B" w:rsidRPr="00B31346">
        <w:t xml:space="preserve"> the </w:t>
      </w:r>
      <w:r w:rsidR="00A6072B">
        <w:t xml:space="preserve">governance and </w:t>
      </w:r>
      <w:r w:rsidR="00A6072B" w:rsidRPr="00B31346">
        <w:t xml:space="preserve">financial management of Grey Roots Museum </w:t>
      </w:r>
      <w:r w:rsidR="006A1B52">
        <w:t>and</w:t>
      </w:r>
      <w:r w:rsidR="00A6072B" w:rsidRPr="00B31346">
        <w:t xml:space="preserve"> Archives</w:t>
      </w:r>
      <w:r w:rsidR="00717C77">
        <w:t xml:space="preserve">, established by By-law </w:t>
      </w:r>
      <w:r w:rsidR="003F12C3">
        <w:t>4775-12 Procedural By-law</w:t>
      </w:r>
      <w:r w:rsidR="00A7265E">
        <w:t>,</w:t>
      </w:r>
      <w:r w:rsidR="00A6072B" w:rsidRPr="00B31346">
        <w:t xml:space="preserve"> and its relationship to</w:t>
      </w:r>
      <w:r w:rsidR="00A6072B">
        <w:t xml:space="preserve"> its publicly accountable</w:t>
      </w:r>
      <w:r w:rsidR="00A6072B" w:rsidRPr="00B31346">
        <w:t xml:space="preserve"> body, the Corporation of the County of Grey.</w:t>
      </w:r>
      <w:r>
        <w:t xml:space="preserve">  It </w:t>
      </w:r>
      <w:r w:rsidR="00A6072B" w:rsidRPr="00B31346">
        <w:t>give</w:t>
      </w:r>
      <w:r>
        <w:t>s</w:t>
      </w:r>
      <w:r w:rsidR="00A6072B" w:rsidRPr="00B31346">
        <w:t xml:space="preserve"> direction to Grey Roots staff members regarding the types of ethical and acceptable</w:t>
      </w:r>
      <w:r w:rsidR="00A6072B">
        <w:t xml:space="preserve"> management,</w:t>
      </w:r>
      <w:r w:rsidR="00A6072B" w:rsidRPr="00B31346">
        <w:t xml:space="preserve"> </w:t>
      </w:r>
      <w:r w:rsidR="00A6072B" w:rsidRPr="00B31346">
        <w:lastRenderedPageBreak/>
        <w:t>fundraising options, responsible budgetary expectations</w:t>
      </w:r>
      <w:r w:rsidR="00A6072B">
        <w:t>,</w:t>
      </w:r>
      <w:r w:rsidR="00A6072B" w:rsidRPr="00B31346">
        <w:t xml:space="preserve"> and committee approvals necessary to sustain museum operational and capital costs.</w:t>
      </w:r>
    </w:p>
    <w:p w:rsidR="00883D8D" w:rsidRDefault="00883D8D" w:rsidP="00E32F4D">
      <w:pPr>
        <w:pStyle w:val="Heading2"/>
      </w:pPr>
      <w:r w:rsidRPr="00E32F4D">
        <w:t>Scope</w:t>
      </w:r>
    </w:p>
    <w:p w:rsidR="00C35F07" w:rsidRDefault="00C35F07">
      <w:r>
        <w:t>This procedure covers governance and financial management of Grey Roots Museum and Archives by County Council, the Planning and Community Development Committee, as the Committee responsible for overseeing the governance and financial management of Grey Roots Museum and Archives, County employees, as well as by volunteers, agents or contractors (personnel) representing or performing any function on behalf of the County.</w:t>
      </w:r>
    </w:p>
    <w:p w:rsidR="00C35F07" w:rsidRDefault="00C35F07" w:rsidP="00C35F07">
      <w:pPr>
        <w:pStyle w:val="Heading2"/>
      </w:pPr>
      <w:r>
        <w:t>Procedures</w:t>
      </w:r>
    </w:p>
    <w:p w:rsidR="00C35F07" w:rsidRDefault="00EE2CFC" w:rsidP="00C35F07">
      <w:pPr>
        <w:pStyle w:val="Heading3"/>
      </w:pPr>
      <w:r>
        <w:t>Statement of Purpose and Objectives</w:t>
      </w:r>
    </w:p>
    <w:p w:rsidR="00EE2CFC" w:rsidRDefault="00EE2CFC" w:rsidP="00EE2CFC">
      <w:r>
        <w:t>Grey Roots Museum and Archives will, in all its operations, be guided by and abide by its statement of purpose and objectives which are as follows:</w:t>
      </w:r>
    </w:p>
    <w:p w:rsidR="008B44EF" w:rsidRPr="008B44EF" w:rsidRDefault="008240B7" w:rsidP="008B44EF">
      <w:r>
        <w:t xml:space="preserve">The </w:t>
      </w:r>
      <w:r w:rsidR="00EE2CFC" w:rsidRPr="008B44EF">
        <w:t>Vision</w:t>
      </w:r>
      <w:r>
        <w:t>:</w:t>
      </w:r>
    </w:p>
    <w:p w:rsidR="008B44EF" w:rsidRPr="008B44EF" w:rsidRDefault="008B44EF" w:rsidP="008B44EF">
      <w:pPr>
        <w:rPr>
          <w:rFonts w:cs="Calibri"/>
        </w:rPr>
      </w:pPr>
      <w:r w:rsidRPr="008B44EF">
        <w:rPr>
          <w:rFonts w:cs="Calibri"/>
        </w:rPr>
        <w:t>Grey Roots will become the recognized leader in preserving, promoting and celebrating the cultural and heri</w:t>
      </w:r>
      <w:r w:rsidR="003F12C3">
        <w:rPr>
          <w:rFonts w:cs="Calibri"/>
        </w:rPr>
        <w:t>tage traditions of Grey County.</w:t>
      </w:r>
    </w:p>
    <w:p w:rsidR="00EE2CFC" w:rsidRPr="008B44EF" w:rsidRDefault="008240B7" w:rsidP="008B44EF">
      <w:r>
        <w:t xml:space="preserve">The </w:t>
      </w:r>
      <w:r w:rsidR="00EE2CFC" w:rsidRPr="008B44EF">
        <w:t>Mission</w:t>
      </w:r>
      <w:r>
        <w:t>:</w:t>
      </w:r>
    </w:p>
    <w:p w:rsidR="008B44EF" w:rsidRPr="008B44EF" w:rsidRDefault="008B44EF" w:rsidP="008B44EF">
      <w:pPr>
        <w:rPr>
          <w:rFonts w:cs="Calibri"/>
        </w:rPr>
      </w:pPr>
      <w:r w:rsidRPr="008B44EF">
        <w:rPr>
          <w:rFonts w:cs="Calibri"/>
        </w:rPr>
        <w:t xml:space="preserve">Grey Roots celebrates the County's past, present and future through its collections, heritage village, innovative and engaging exhibits, events and </w:t>
      </w:r>
      <w:r w:rsidR="003F12C3" w:rsidRPr="008B44EF">
        <w:rPr>
          <w:rFonts w:cs="Calibri"/>
        </w:rPr>
        <w:t>programs</w:t>
      </w:r>
      <w:r w:rsidRPr="008B44EF">
        <w:rPr>
          <w:rFonts w:cs="Calibri"/>
        </w:rPr>
        <w:t>, bringing the history and ambitions of our people to all generations and visitors.</w:t>
      </w:r>
    </w:p>
    <w:p w:rsidR="00EE2CFC" w:rsidRPr="008B44EF" w:rsidRDefault="008240B7" w:rsidP="00EE2CFC">
      <w:r>
        <w:t xml:space="preserve">The </w:t>
      </w:r>
      <w:r w:rsidR="00EE2CFC" w:rsidRPr="008B44EF">
        <w:t>Values</w:t>
      </w:r>
      <w:r>
        <w:t>:</w:t>
      </w:r>
    </w:p>
    <w:p w:rsidR="008B44EF" w:rsidRPr="008B44EF" w:rsidRDefault="00EE2CFC" w:rsidP="00386313">
      <w:pPr>
        <w:tabs>
          <w:tab w:val="left" w:pos="1440"/>
        </w:tabs>
        <w:spacing w:before="100" w:beforeAutospacing="1" w:after="100" w:afterAutospacing="1" w:line="240" w:lineRule="auto"/>
        <w:contextualSpacing/>
        <w:rPr>
          <w:rFonts w:eastAsia="Times New Roman" w:cs="Times New Roman"/>
          <w:lang w:val="en-CA" w:eastAsia="en-CA"/>
        </w:rPr>
      </w:pPr>
      <w:proofErr w:type="spellStart"/>
      <w:r w:rsidRPr="008B44EF">
        <w:t>Honou</w:t>
      </w:r>
      <w:proofErr w:type="spellEnd"/>
      <w:r w:rsidR="00386313">
        <w:rPr>
          <w:rFonts w:eastAsia="Times New Roman" w:cs="Times New Roman"/>
          <w:lang w:val="en-CA" w:eastAsia="en-CA"/>
        </w:rPr>
        <w:t>r:</w:t>
      </w:r>
      <w:r w:rsidR="00386313">
        <w:rPr>
          <w:rFonts w:eastAsia="Times New Roman" w:cs="Times New Roman"/>
          <w:lang w:val="en-CA" w:eastAsia="en-CA"/>
        </w:rPr>
        <w:tab/>
      </w:r>
      <w:r w:rsidR="008B44EF" w:rsidRPr="008B44EF">
        <w:rPr>
          <w:rFonts w:eastAsia="Times New Roman" w:cs="Times New Roman"/>
          <w:lang w:val="en-CA" w:eastAsia="en-CA"/>
        </w:rPr>
        <w:t>We honour all the peoples of our shared history.</w:t>
      </w:r>
    </w:p>
    <w:p w:rsidR="008B44EF" w:rsidRPr="008B44EF" w:rsidRDefault="00386313" w:rsidP="00386313">
      <w:pPr>
        <w:tabs>
          <w:tab w:val="left" w:pos="1440"/>
        </w:tabs>
        <w:spacing w:before="100" w:beforeAutospacing="1" w:after="100" w:afterAutospacing="1" w:line="240" w:lineRule="auto"/>
        <w:contextualSpacing/>
        <w:rPr>
          <w:rFonts w:eastAsia="Times New Roman" w:cs="Times New Roman"/>
          <w:lang w:val="en-CA" w:eastAsia="en-CA"/>
        </w:rPr>
      </w:pPr>
      <w:r>
        <w:rPr>
          <w:rFonts w:eastAsia="Times New Roman" w:cs="Times New Roman"/>
          <w:lang w:val="en-CA" w:eastAsia="en-CA"/>
        </w:rPr>
        <w:t>Respect:</w:t>
      </w:r>
      <w:r>
        <w:rPr>
          <w:rFonts w:eastAsia="Times New Roman" w:cs="Times New Roman"/>
          <w:lang w:val="en-CA" w:eastAsia="en-CA"/>
        </w:rPr>
        <w:tab/>
      </w:r>
      <w:r w:rsidR="008B44EF" w:rsidRPr="008B44EF">
        <w:rPr>
          <w:rFonts w:eastAsia="Times New Roman" w:cs="Times New Roman"/>
          <w:lang w:val="en-CA" w:eastAsia="en-CA"/>
        </w:rPr>
        <w:t>We respect the heritage and traditions of our people.</w:t>
      </w:r>
    </w:p>
    <w:p w:rsidR="008B44EF" w:rsidRPr="008B44EF" w:rsidRDefault="00386313" w:rsidP="00386313">
      <w:pPr>
        <w:tabs>
          <w:tab w:val="left" w:pos="1440"/>
        </w:tabs>
        <w:spacing w:before="100" w:beforeAutospacing="1" w:after="100" w:afterAutospacing="1" w:line="240" w:lineRule="auto"/>
        <w:contextualSpacing/>
        <w:rPr>
          <w:rFonts w:eastAsia="Times New Roman" w:cs="Times New Roman"/>
          <w:lang w:val="en-CA" w:eastAsia="en-CA"/>
        </w:rPr>
      </w:pPr>
      <w:r>
        <w:rPr>
          <w:rFonts w:eastAsia="Times New Roman" w:cs="Times New Roman"/>
          <w:lang w:val="en-CA" w:eastAsia="en-CA"/>
        </w:rPr>
        <w:t>Celebrate:</w:t>
      </w:r>
      <w:r>
        <w:rPr>
          <w:rFonts w:eastAsia="Times New Roman" w:cs="Times New Roman"/>
          <w:lang w:val="en-CA" w:eastAsia="en-CA"/>
        </w:rPr>
        <w:tab/>
      </w:r>
      <w:r w:rsidR="008B44EF" w:rsidRPr="008B44EF">
        <w:rPr>
          <w:rFonts w:eastAsia="Times New Roman" w:cs="Times New Roman"/>
          <w:lang w:val="en-CA" w:eastAsia="en-CA"/>
        </w:rPr>
        <w:t>We celebrate the unique character of Grey County.</w:t>
      </w:r>
    </w:p>
    <w:p w:rsidR="00EE2CFC" w:rsidRPr="008B44EF" w:rsidRDefault="00386313" w:rsidP="00386313">
      <w:pPr>
        <w:tabs>
          <w:tab w:val="left" w:pos="1440"/>
        </w:tabs>
        <w:spacing w:before="100" w:beforeAutospacing="1" w:after="100" w:afterAutospacing="1" w:line="240" w:lineRule="auto"/>
        <w:ind w:left="1440" w:hanging="1440"/>
        <w:contextualSpacing/>
        <w:rPr>
          <w:rFonts w:eastAsia="Times New Roman" w:cs="Times New Roman"/>
          <w:lang w:val="en-CA" w:eastAsia="en-CA"/>
        </w:rPr>
      </w:pPr>
      <w:r>
        <w:rPr>
          <w:rFonts w:eastAsia="Times New Roman" w:cs="Times New Roman"/>
          <w:lang w:val="en-CA" w:eastAsia="en-CA"/>
        </w:rPr>
        <w:t>Advocate:</w:t>
      </w:r>
      <w:r>
        <w:rPr>
          <w:rFonts w:eastAsia="Times New Roman" w:cs="Times New Roman"/>
          <w:lang w:val="en-CA" w:eastAsia="en-CA"/>
        </w:rPr>
        <w:tab/>
      </w:r>
      <w:r w:rsidR="008B44EF" w:rsidRPr="008B44EF">
        <w:rPr>
          <w:rFonts w:eastAsia="Times New Roman" w:cs="Times New Roman"/>
          <w:lang w:val="en-CA" w:eastAsia="en-CA"/>
        </w:rPr>
        <w:t>We advocate for the accurate representation of our history and the multipl</w:t>
      </w:r>
      <w:r w:rsidR="006A1B52">
        <w:rPr>
          <w:rFonts w:eastAsia="Times New Roman" w:cs="Times New Roman"/>
          <w:lang w:val="en-CA" w:eastAsia="en-CA"/>
        </w:rPr>
        <w:t>e voices in our community.</w:t>
      </w:r>
    </w:p>
    <w:p w:rsidR="00EE2CFC" w:rsidRPr="008B44EF" w:rsidRDefault="009A69F5" w:rsidP="00386313">
      <w:pPr>
        <w:tabs>
          <w:tab w:val="left" w:pos="1440"/>
        </w:tabs>
        <w:spacing w:before="100" w:beforeAutospacing="1" w:after="100" w:afterAutospacing="1" w:line="240" w:lineRule="auto"/>
        <w:ind w:left="1440" w:hanging="1440"/>
        <w:contextualSpacing/>
        <w:rPr>
          <w:rFonts w:eastAsia="Times New Roman" w:cs="Times New Roman"/>
          <w:lang w:val="en-CA" w:eastAsia="en-CA"/>
        </w:rPr>
      </w:pPr>
      <w:r>
        <w:rPr>
          <w:rFonts w:eastAsia="Times New Roman" w:cs="Times New Roman"/>
          <w:lang w:val="en-CA" w:eastAsia="en-CA"/>
        </w:rPr>
        <w:t>Co</w:t>
      </w:r>
      <w:r w:rsidR="008B44EF" w:rsidRPr="008B44EF">
        <w:rPr>
          <w:rFonts w:eastAsia="Times New Roman" w:cs="Times New Roman"/>
          <w:lang w:val="en-CA" w:eastAsia="en-CA"/>
        </w:rPr>
        <w:t>operate:</w:t>
      </w:r>
      <w:r w:rsidR="008B44EF" w:rsidRPr="008B44EF">
        <w:rPr>
          <w:rFonts w:eastAsia="Times New Roman" w:cs="Times New Roman"/>
          <w:lang w:val="en-CA" w:eastAsia="en-CA"/>
        </w:rPr>
        <w:tab/>
        <w:t>We work co-operatively with our people, community and business organizations to achieve our shared vision.</w:t>
      </w:r>
    </w:p>
    <w:p w:rsidR="00EE2CFC" w:rsidRDefault="00EE2CFC" w:rsidP="00EE2CFC">
      <w:pPr>
        <w:pStyle w:val="Heading3"/>
      </w:pPr>
      <w:r>
        <w:t>Governing Body</w:t>
      </w:r>
    </w:p>
    <w:p w:rsidR="00EE2CFC" w:rsidRDefault="00EE2CFC" w:rsidP="00EE2CFC">
      <w:r>
        <w:t>Grey Roots Museum and Archives shall be governed by the Planning and Community Development Committee</w:t>
      </w:r>
      <w:r w:rsidR="00B6613B">
        <w:t xml:space="preserve"> (PCDC)</w:t>
      </w:r>
      <w:r>
        <w:t xml:space="preserve"> which has been established </w:t>
      </w:r>
      <w:r w:rsidR="00C41C8D">
        <w:t xml:space="preserve">by the County through its Terms of Reference.  The PCDC </w:t>
      </w:r>
      <w:r w:rsidR="004D0851">
        <w:t xml:space="preserve">is a standing committee which meets regularly to </w:t>
      </w:r>
      <w:r w:rsidR="004D0851">
        <w:lastRenderedPageBreak/>
        <w:t>act</w:t>
      </w:r>
      <w:r w:rsidR="00C41C8D">
        <w:t xml:space="preserve"> </w:t>
      </w:r>
      <w:r>
        <w:t>on behalf of</w:t>
      </w:r>
      <w:r w:rsidR="00C41C8D">
        <w:t>,</w:t>
      </w:r>
      <w:r>
        <w:t xml:space="preserve"> and</w:t>
      </w:r>
      <w:r w:rsidR="00C41C8D">
        <w:t xml:space="preserve"> is</w:t>
      </w:r>
      <w:r>
        <w:t xml:space="preserve"> delegated by County Council to undertake, implement and maintain planning as it relates to tourism</w:t>
      </w:r>
      <w:r w:rsidR="00C41C8D">
        <w:t>,</w:t>
      </w:r>
      <w:r>
        <w:t xml:space="preserve"> and to foster and support the culture and heritage of the County through the development and operation of Grey Roots Museum and Archives.</w:t>
      </w:r>
      <w:r w:rsidR="005F0703">
        <w:t xml:space="preserve">  Its meetings follow a written agenda and a written record is retained and made publicly available of all discussions and decisions.</w:t>
      </w:r>
    </w:p>
    <w:p w:rsidR="00C41C8D" w:rsidRDefault="00C41C8D" w:rsidP="00EE2CFC">
      <w:r>
        <w:t xml:space="preserve">The Committee is guided by the County’s Procedural By-law, as well as numerous Provincial Acts and regulations such as The Municipal Act, the Planning Act, and The Standards for Community Museums in Ontario (Regulation 877 of the Ontario </w:t>
      </w:r>
      <w:r w:rsidR="004D0851">
        <w:t>Heritage Act).</w:t>
      </w:r>
    </w:p>
    <w:p w:rsidR="005F0703" w:rsidRDefault="005F0703" w:rsidP="005F0703">
      <w:pPr>
        <w:pStyle w:val="Heading3"/>
      </w:pPr>
      <w:r>
        <w:t>Commitment to Ethical Behaviour</w:t>
      </w:r>
    </w:p>
    <w:p w:rsidR="005F0703" w:rsidRDefault="005F0703" w:rsidP="005F0703">
      <w:r>
        <w:t xml:space="preserve">All County employees and Committees recognize that they are required to behave in an ethical manner and avoid conflict of interest, as a body and as individuals, as outlined in the County’s Code of Conduct for </w:t>
      </w:r>
      <w:proofErr w:type="spellStart"/>
      <w:r>
        <w:t>Councillors</w:t>
      </w:r>
      <w:proofErr w:type="spellEnd"/>
      <w:r>
        <w:t xml:space="preserve"> ADM 09-08</w:t>
      </w:r>
      <w:r w:rsidR="007245A6">
        <w:t xml:space="preserve"> and </w:t>
      </w:r>
      <w:r w:rsidR="002D16EE">
        <w:t xml:space="preserve">Section 5-10 </w:t>
      </w:r>
      <w:r w:rsidR="002D16EE" w:rsidRPr="002D16EE">
        <w:t>Employee Standards</w:t>
      </w:r>
      <w:r w:rsidR="007245A6" w:rsidRPr="002D16EE">
        <w:t xml:space="preserve"> of Conduct.</w:t>
      </w:r>
    </w:p>
    <w:p w:rsidR="005F0703" w:rsidRDefault="005F0703" w:rsidP="005F0703">
      <w:r>
        <w:t>Specific to Grey Roots Museum and Archives, the County is committed to the Canadian Museums Association Ethics Guidelines and the International Council of Museums Code of Professional Ethics.</w:t>
      </w:r>
    </w:p>
    <w:p w:rsidR="007245A6" w:rsidRDefault="007245A6" w:rsidP="005F0703">
      <w:r>
        <w:t>Grey Roots ensures that all museum volunteers agree in writing to abide by the museum’s Volunteer Code of Conduct and Volunteer Pledge of Confidentiality.</w:t>
      </w:r>
    </w:p>
    <w:p w:rsidR="00784CA4" w:rsidRDefault="005F0703" w:rsidP="00784CA4">
      <w:pPr>
        <w:pStyle w:val="Heading3"/>
      </w:pPr>
      <w:r>
        <w:t xml:space="preserve">Governance </w:t>
      </w:r>
      <w:r w:rsidR="00784CA4">
        <w:t>Responsibilities</w:t>
      </w:r>
    </w:p>
    <w:p w:rsidR="005B218B" w:rsidRDefault="005F0703" w:rsidP="00EE2CFC">
      <w:r>
        <w:t xml:space="preserve">The </w:t>
      </w:r>
      <w:r w:rsidRPr="000B34A1">
        <w:t>Planning and Community Development Committee</w:t>
      </w:r>
      <w:r w:rsidR="00784CA4">
        <w:t xml:space="preserve"> is responsible for</w:t>
      </w:r>
      <w:r w:rsidR="005B218B">
        <w:t>:</w:t>
      </w:r>
    </w:p>
    <w:p w:rsidR="005F0703" w:rsidRDefault="005F0703" w:rsidP="00B6613B">
      <w:pPr>
        <w:pStyle w:val="ListParagraph"/>
        <w:numPr>
          <w:ilvl w:val="0"/>
          <w:numId w:val="2"/>
        </w:numPr>
        <w:spacing w:before="120"/>
        <w:ind w:left="360"/>
        <w:contextualSpacing w:val="0"/>
      </w:pPr>
      <w:r>
        <w:t>Formulating the museum’s statement of purpose and ensuring that the purposes for which the museum exists are being fulfilled.</w:t>
      </w:r>
    </w:p>
    <w:p w:rsidR="005F0703" w:rsidRDefault="00405423" w:rsidP="00B6613B">
      <w:pPr>
        <w:pStyle w:val="ListParagraph"/>
        <w:numPr>
          <w:ilvl w:val="0"/>
          <w:numId w:val="2"/>
        </w:numPr>
        <w:spacing w:before="120"/>
        <w:ind w:left="360"/>
        <w:contextualSpacing w:val="0"/>
      </w:pPr>
      <w:r>
        <w:t>Establishing</w:t>
      </w:r>
      <w:r w:rsidR="005F0703">
        <w:t xml:space="preserve"> written polic</w:t>
      </w:r>
      <w:r>
        <w:t>ies</w:t>
      </w:r>
      <w:r w:rsidR="005F0703">
        <w:t xml:space="preserve"> governing museum operations and defining programs.</w:t>
      </w:r>
    </w:p>
    <w:p w:rsidR="005F0703" w:rsidRDefault="005F0703" w:rsidP="00B6613B">
      <w:pPr>
        <w:pStyle w:val="ListParagraph"/>
        <w:numPr>
          <w:ilvl w:val="0"/>
          <w:numId w:val="2"/>
        </w:numPr>
        <w:spacing w:before="120"/>
        <w:ind w:left="360"/>
        <w:contextualSpacing w:val="0"/>
      </w:pPr>
      <w:r>
        <w:t>Ensuring that the collection</w:t>
      </w:r>
      <w:r w:rsidR="007245A6">
        <w:t xml:space="preserve"> is being cared for under adequate</w:t>
      </w:r>
      <w:r>
        <w:t xml:space="preserve"> staffing, security</w:t>
      </w:r>
      <w:r w:rsidR="007245A6">
        <w:t xml:space="preserve"> and environmental conditions to maintain Ministry museum standards.</w:t>
      </w:r>
    </w:p>
    <w:p w:rsidR="007245A6" w:rsidRDefault="007245A6" w:rsidP="00B6613B">
      <w:pPr>
        <w:pStyle w:val="ListParagraph"/>
        <w:numPr>
          <w:ilvl w:val="0"/>
          <w:numId w:val="2"/>
        </w:numPr>
        <w:spacing w:before="120"/>
        <w:ind w:left="360"/>
        <w:contextualSpacing w:val="0"/>
      </w:pPr>
      <w:r>
        <w:t>Confirming that the museum’s operations and activities are directed by short and long-term written plans including, but limited to: master plans, business plans, interpretive plans, marketing plans and collecting plans which a</w:t>
      </w:r>
      <w:r w:rsidR="000B34A1">
        <w:t>re reviewed and approved by the</w:t>
      </w:r>
      <w:r>
        <w:t xml:space="preserve"> Committee, and contain goals and objectives relevant to the museum’s Statement of Purpose.</w:t>
      </w:r>
    </w:p>
    <w:p w:rsidR="00405423" w:rsidRDefault="00405423" w:rsidP="00EE2CFC">
      <w:r>
        <w:lastRenderedPageBreak/>
        <w:t>Through the County’s Human Resource policies staff has been delegated authority for recruitment, management and evaluation of staff</w:t>
      </w:r>
      <w:r w:rsidR="0028058D">
        <w:t xml:space="preserve"> up to and including the Museum Manager.</w:t>
      </w:r>
    </w:p>
    <w:p w:rsidR="00405423" w:rsidRDefault="00405423" w:rsidP="00EE2CFC">
      <w:r>
        <w:t xml:space="preserve">All recommendations are subject to the approval of County </w:t>
      </w:r>
      <w:r w:rsidR="0028058D">
        <w:t>C</w:t>
      </w:r>
      <w:r>
        <w:t>ouncil unless Council has delegated the authority to either the PCDC or to staff.</w:t>
      </w:r>
    </w:p>
    <w:p w:rsidR="00A7265E" w:rsidRDefault="00A7265E" w:rsidP="00A7265E">
      <w:pPr>
        <w:pStyle w:val="Heading3"/>
      </w:pPr>
      <w:r>
        <w:t>Dissolution of Museum Assets and Liabilities</w:t>
      </w:r>
    </w:p>
    <w:p w:rsidR="00A7265E" w:rsidRDefault="00A7265E" w:rsidP="00A7265E">
      <w:r>
        <w:t>In the unlikely event that Grey Roots Museum</w:t>
      </w:r>
      <w:r w:rsidR="0028058D">
        <w:t xml:space="preserve"> and Archives</w:t>
      </w:r>
      <w:r>
        <w:t xml:space="preserve"> should cease to exist, the PCD</w:t>
      </w:r>
      <w:r w:rsidR="0028058D">
        <w:t>C</w:t>
      </w:r>
      <w:r>
        <w:t xml:space="preserve"> Committee and the County of Grey will make all possible efforts to dispose of museum assets and related intellectual property according to the most relevant and specific policies existing, depending on the type of assets to be dissolved.  For the museum’s </w:t>
      </w:r>
      <w:proofErr w:type="spellStart"/>
      <w:r>
        <w:t>artefact</w:t>
      </w:r>
      <w:proofErr w:type="spellEnd"/>
      <w:r>
        <w:t xml:space="preserve"> collection and related intellectual property, including those pieces donated and transferred to the teaching collection, Grey Roots’ Acquisitions Policy GR-02-07 shall apply, </w:t>
      </w:r>
      <w:r w:rsidR="00A9396B">
        <w:t>adhering</w:t>
      </w:r>
      <w:r>
        <w:t xml:space="preserve"> to Ministry Museum Standards on </w:t>
      </w:r>
      <w:proofErr w:type="spellStart"/>
      <w:r w:rsidR="00A9396B">
        <w:t>d</w:t>
      </w:r>
      <w:r>
        <w:t>eaccessioning</w:t>
      </w:r>
      <w:proofErr w:type="spellEnd"/>
      <w:r>
        <w:t xml:space="preserve"> </w:t>
      </w:r>
      <w:proofErr w:type="spellStart"/>
      <w:r>
        <w:t>artefacts</w:t>
      </w:r>
      <w:proofErr w:type="spellEnd"/>
      <w:r>
        <w:t xml:space="preserve"> with the priority to keep them within the public domain </w:t>
      </w:r>
      <w:r w:rsidR="00A9396B">
        <w:t>in similar, publically accessible heritage institutions.</w:t>
      </w:r>
    </w:p>
    <w:p w:rsidR="00A9396B" w:rsidRDefault="00A9396B" w:rsidP="00A7265E">
      <w:r>
        <w:t>The County will make all possible effort</w:t>
      </w:r>
      <w:r w:rsidR="0028058D">
        <w:t>s</w:t>
      </w:r>
      <w:r>
        <w:t xml:space="preserve"> to retain adequate and knowledgeable staffing in order that </w:t>
      </w:r>
      <w:proofErr w:type="spellStart"/>
      <w:r>
        <w:t>artefact</w:t>
      </w:r>
      <w:proofErr w:type="spellEnd"/>
      <w:r>
        <w:t xml:space="preserve"> dissolution and adequate records of </w:t>
      </w:r>
      <w:r w:rsidR="006A1B52">
        <w:t>such dissolution are completed.</w:t>
      </w:r>
    </w:p>
    <w:p w:rsidR="00A7265E" w:rsidRPr="00A7265E" w:rsidRDefault="00A7265E" w:rsidP="00A7265E">
      <w:r>
        <w:t>For Grey Roots Museum’s non-</w:t>
      </w:r>
      <w:proofErr w:type="spellStart"/>
      <w:r>
        <w:t>artefact</w:t>
      </w:r>
      <w:proofErr w:type="spellEnd"/>
      <w:r>
        <w:t xml:space="preserve"> assets, including, but not limited to buildings, equipment and furniture, the County’s Sale and Acquisition of Land </w:t>
      </w:r>
      <w:r w:rsidR="00A9396B">
        <w:t xml:space="preserve">and other relevant policies </w:t>
      </w:r>
      <w:r>
        <w:t>shall apply.</w:t>
      </w:r>
    </w:p>
    <w:p w:rsidR="00C35F07" w:rsidRPr="00B31346" w:rsidRDefault="005F0703" w:rsidP="00C35F07">
      <w:pPr>
        <w:pStyle w:val="Heading3"/>
      </w:pPr>
      <w:r>
        <w:t>Financial Responsibilities</w:t>
      </w:r>
    </w:p>
    <w:p w:rsidR="00C35F07" w:rsidRPr="00B31346" w:rsidRDefault="00C35F07" w:rsidP="00C35F07">
      <w:r w:rsidRPr="00B31346">
        <w:t>Grey Roots Museum &amp; Archives will abide by any and all Financial By-laws, policies and procedures of the Corporation of the County of Grey.  It will participate in the annual municipal budgeting process for the operating and capital budgets</w:t>
      </w:r>
      <w:r w:rsidR="0028058D">
        <w:t xml:space="preserve"> and capital forecasts</w:t>
      </w:r>
      <w:r w:rsidRPr="00B31346">
        <w:t>.</w:t>
      </w:r>
    </w:p>
    <w:p w:rsidR="00C35F07" w:rsidRPr="00B31346" w:rsidRDefault="00C35F07" w:rsidP="00C35F07">
      <w:r w:rsidRPr="00B31346">
        <w:t xml:space="preserve">The </w:t>
      </w:r>
      <w:r w:rsidR="001C75DA">
        <w:t>PCDC</w:t>
      </w:r>
      <w:r w:rsidRPr="00B31346">
        <w:t xml:space="preserve"> is responsible for ensuring that the operating and capital budgets submitted during the annual budgeting process are, </w:t>
      </w:r>
      <w:r w:rsidR="0028058D">
        <w:t xml:space="preserve">in </w:t>
      </w:r>
      <w:r w:rsidRPr="00B31346">
        <w:t>its opinion, adequate to operate Grey Roots Museum &amp; Archives and fully meet its needs.</w:t>
      </w:r>
    </w:p>
    <w:p w:rsidR="00C35F07" w:rsidRPr="00B31346" w:rsidRDefault="00C35F07" w:rsidP="00C35F07">
      <w:r w:rsidRPr="00B31346">
        <w:t>The C</w:t>
      </w:r>
      <w:r>
        <w:t>ouncil of the County of Grey</w:t>
      </w:r>
      <w:r w:rsidRPr="00B31346">
        <w:t xml:space="preserve"> is responsible for reviewing the submitted budget.  It is then responsible for providing the funds required</w:t>
      </w:r>
      <w:r>
        <w:t>,</w:t>
      </w:r>
      <w:r w:rsidRPr="00B31346">
        <w:t xml:space="preserve"> in its opinion, </w:t>
      </w:r>
      <w:r>
        <w:t xml:space="preserve">to </w:t>
      </w:r>
      <w:r w:rsidRPr="00B31346">
        <w:t>adequately operate Grey Roots Museum &amp; Arc</w:t>
      </w:r>
      <w:r w:rsidR="006A1B52">
        <w:t>hives and fully meet its needs.</w:t>
      </w:r>
    </w:p>
    <w:p w:rsidR="00C35F07" w:rsidRPr="00B31346" w:rsidRDefault="00C35F07" w:rsidP="00C35F07">
      <w:pPr>
        <w:pStyle w:val="Heading3"/>
      </w:pPr>
      <w:r w:rsidRPr="00B31346">
        <w:lastRenderedPageBreak/>
        <w:t>Fundraising</w:t>
      </w:r>
    </w:p>
    <w:p w:rsidR="00C35F07" w:rsidRPr="00B31346" w:rsidRDefault="00C35F07" w:rsidP="00C35F07">
      <w:r w:rsidRPr="00B31346">
        <w:t>Grey Roots Museum &amp; Archives will act in an ethical manner when in the pursuit of fundraising.  Funding will not be acquired through illegal or ethically problematic avenues (i.e. no part of the collection can be sold in order to pay debts).</w:t>
      </w:r>
    </w:p>
    <w:p w:rsidR="00C35F07" w:rsidRPr="00B31346" w:rsidRDefault="00C35F07" w:rsidP="00C35F07">
      <w:r w:rsidRPr="00B31346">
        <w:t xml:space="preserve">Whenever possible, it is preferred that any fundraising activities undertaken by Grey Roots be supportive of </w:t>
      </w:r>
      <w:r>
        <w:t>its</w:t>
      </w:r>
      <w:r w:rsidRPr="00B31346">
        <w:t xml:space="preserve"> Vision and Mission Statements.</w:t>
      </w:r>
    </w:p>
    <w:p w:rsidR="00C35F07" w:rsidRPr="00B31346" w:rsidRDefault="00C35F07" w:rsidP="00C35F07">
      <w:r w:rsidRPr="00B31346">
        <w:t>The</w:t>
      </w:r>
      <w:r w:rsidR="00B6613B">
        <w:t xml:space="preserve"> PCDC and</w:t>
      </w:r>
      <w:r w:rsidRPr="00B31346">
        <w:t xml:space="preserve"> staff will make every effort to diversify funding sources to reduce the burden on the tax supported Corporation.</w:t>
      </w:r>
    </w:p>
    <w:p w:rsidR="00C35F07" w:rsidRPr="00B31346" w:rsidRDefault="00C35F07" w:rsidP="00C35F07">
      <w:r w:rsidRPr="00B31346">
        <w:t>Possible funding sources include, but are not limited to: municipality, grant funding, private monetary donations, approved fundraising activities, corporate d</w:t>
      </w:r>
      <w:r w:rsidR="006A1B52">
        <w:t>onations and in-kind donations.</w:t>
      </w:r>
    </w:p>
    <w:p w:rsidR="00C35F07" w:rsidRPr="00B31346" w:rsidRDefault="00C35F07" w:rsidP="00C35F07">
      <w:pPr>
        <w:pStyle w:val="Heading3"/>
      </w:pPr>
      <w:r w:rsidRPr="00B31346">
        <w:t>Financial Information</w:t>
      </w:r>
    </w:p>
    <w:p w:rsidR="00FE7170" w:rsidRDefault="00C35F07">
      <w:r w:rsidRPr="00B31346">
        <w:t>As outlined in the Municipal Freedom of Information Act, the financial status of Grey Roots Museum &amp; Archives is available to</w:t>
      </w:r>
      <w:r>
        <w:t xml:space="preserve"> the public at any time upon request and is included in the Corporation of the County of Grey’s annual audited financial statements.</w:t>
      </w:r>
    </w:p>
    <w:sectPr w:rsidR="00FE7170" w:rsidSect="004C3611">
      <w:footerReference w:type="default" r:id="rId23"/>
      <w:footerReference w:type="first" r:id="rId24"/>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4B" w:rsidRDefault="0098374B" w:rsidP="00883D8D">
      <w:pPr>
        <w:spacing w:after="0" w:line="240" w:lineRule="auto"/>
      </w:pPr>
      <w:r>
        <w:separator/>
      </w:r>
    </w:p>
  </w:endnote>
  <w:endnote w:type="continuationSeparator" w:id="0">
    <w:p w:rsidR="0098374B" w:rsidRDefault="0098374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A1" w:rsidRDefault="008C39A1" w:rsidP="008C39A1">
    <w:pPr>
      <w:tabs>
        <w:tab w:val="left" w:pos="4320"/>
        <w:tab w:val="left" w:pos="7920"/>
      </w:tabs>
      <w:spacing w:before="120" w:after="0"/>
      <w:rPr>
        <w:sz w:val="22"/>
        <w:szCs w:val="22"/>
      </w:rPr>
    </w:pPr>
    <w:r>
      <w:rPr>
        <w:sz w:val="22"/>
        <w:szCs w:val="22"/>
      </w:rPr>
      <w:t>MS-GR-001-001 Governance Procedure</w:t>
    </w:r>
    <w:r>
      <w:rPr>
        <w:sz w:val="22"/>
        <w:szCs w:val="22"/>
      </w:rPr>
      <w:tab/>
    </w:r>
    <w:r w:rsidR="004C3611" w:rsidRPr="006F7C51">
      <w:rPr>
        <w:noProof/>
        <w:sz w:val="22"/>
        <w:szCs w:val="22"/>
        <w:lang w:val="en-CA" w:eastAsia="en-CA"/>
      </w:rPr>
      <w:drawing>
        <wp:inline distT="0" distB="0" distL="0" distR="0" wp14:anchorId="690ACC14" wp14:editId="5E43FB66">
          <wp:extent cx="847725" cy="390525"/>
          <wp:effectExtent l="0" t="0" r="9525" b="9525"/>
          <wp:docPr id="11" name="Picture 11" descr="County of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sidRPr="008C39A1">
      <w:rPr>
        <w:sz w:val="22"/>
        <w:szCs w:val="22"/>
      </w:rPr>
      <w:t xml:space="preserve"> </w:t>
    </w:r>
    <w:sdt>
      <w:sdtPr>
        <w:rPr>
          <w:sz w:val="22"/>
          <w:szCs w:val="22"/>
        </w:rPr>
        <w:id w:val="1728727427"/>
        <w:docPartObj>
          <w:docPartGallery w:val="Page Numbers (Top of Page)"/>
          <w:docPartUnique/>
        </w:docPartObj>
      </w:sdtPr>
      <w:sdtEndPr>
        <w:rPr>
          <w:noProof/>
        </w:rPr>
      </w:sdtEndPr>
      <w:sdtContent>
        <w:r>
          <w:rPr>
            <w:noProof/>
            <w:sz w:val="22"/>
            <w:szCs w:val="22"/>
          </w:rPr>
          <w:tab/>
          <w:t xml:space="preserve"> </w:t>
        </w:r>
        <w:r w:rsidR="00B77D37">
          <w:rPr>
            <w:noProof/>
            <w:sz w:val="22"/>
            <w:szCs w:val="22"/>
          </w:rPr>
          <w:t>July 2</w:t>
        </w:r>
        <w:r>
          <w:rPr>
            <w:noProof/>
            <w:sz w:val="22"/>
            <w:szCs w:val="22"/>
          </w:rPr>
          <w:t>, 2013</w:t>
        </w:r>
      </w:sdtContent>
    </w:sdt>
  </w:p>
  <w:p w:rsidR="004C3611" w:rsidRPr="004C3611" w:rsidRDefault="008C39A1" w:rsidP="008C39A1">
    <w:pPr>
      <w:tabs>
        <w:tab w:val="left" w:pos="4320"/>
      </w:tabs>
      <w:spacing w:after="0" w:line="240" w:lineRule="auto"/>
      <w:jc w:val="right"/>
      <w:rPr>
        <w:sz w:val="22"/>
        <w:szCs w:val="22"/>
      </w:rPr>
    </w:pPr>
    <w:r w:rsidRPr="004C3611">
      <w:rPr>
        <w:sz w:val="22"/>
        <w:szCs w:val="22"/>
      </w:rPr>
      <w:t xml:space="preserve">Page </w:t>
    </w:r>
    <w:sdt>
      <w:sdtPr>
        <w:rPr>
          <w:sz w:val="22"/>
          <w:szCs w:val="22"/>
        </w:rPr>
        <w:id w:val="1361008180"/>
        <w:docPartObj>
          <w:docPartGallery w:val="Page Numbers (Top of Page)"/>
          <w:docPartUnique/>
        </w:docPartObj>
      </w:sdtPr>
      <w:sdtEndPr>
        <w:rPr>
          <w:noProof/>
        </w:rPr>
      </w:sdtEndPr>
      <w:sdtContent>
        <w:r w:rsidRPr="004C3611">
          <w:rPr>
            <w:sz w:val="22"/>
            <w:szCs w:val="22"/>
          </w:rPr>
          <w:fldChar w:fldCharType="begin"/>
        </w:r>
        <w:r w:rsidRPr="004C3611">
          <w:rPr>
            <w:sz w:val="22"/>
            <w:szCs w:val="22"/>
          </w:rPr>
          <w:instrText xml:space="preserve"> PAGE   \* MERGEFORMAT </w:instrText>
        </w:r>
        <w:r w:rsidRPr="004C3611">
          <w:rPr>
            <w:sz w:val="22"/>
            <w:szCs w:val="22"/>
          </w:rPr>
          <w:fldChar w:fldCharType="separate"/>
        </w:r>
        <w:r w:rsidR="00B77D37">
          <w:rPr>
            <w:noProof/>
            <w:sz w:val="22"/>
            <w:szCs w:val="22"/>
          </w:rPr>
          <w:t>2</w:t>
        </w:r>
        <w:r w:rsidRPr="004C3611">
          <w:rPr>
            <w:noProof/>
            <w:sz w:val="22"/>
            <w:szCs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34" w:rsidRDefault="00581934" w:rsidP="00581934">
    <w:pPr>
      <w:pStyle w:val="Footer"/>
      <w:spacing w:before="120"/>
      <w:jc w:val="center"/>
    </w:pPr>
    <w:r w:rsidRPr="00F1375E">
      <w:rPr>
        <w:noProof/>
        <w:lang w:val="en-CA" w:eastAsia="en-CA"/>
      </w:rPr>
      <w:drawing>
        <wp:inline distT="0" distB="0" distL="0" distR="0" wp14:anchorId="3F5C713C" wp14:editId="5870E648">
          <wp:extent cx="847725" cy="390525"/>
          <wp:effectExtent l="0" t="0" r="9525" b="9525"/>
          <wp:docPr id="2" name="Picture 2" descr="County of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4B" w:rsidRDefault="0098374B" w:rsidP="00883D8D">
      <w:pPr>
        <w:spacing w:after="0" w:line="240" w:lineRule="auto"/>
      </w:pPr>
      <w:r>
        <w:separator/>
      </w:r>
    </w:p>
  </w:footnote>
  <w:footnote w:type="continuationSeparator" w:id="0">
    <w:p w:rsidR="0098374B" w:rsidRDefault="0098374B"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5B09"/>
    <w:multiLevelType w:val="hybridMultilevel"/>
    <w:tmpl w:val="70CA7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332C5C"/>
    <w:multiLevelType w:val="multilevel"/>
    <w:tmpl w:val="EA8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3E69"/>
    <w:rsid w:val="00031250"/>
    <w:rsid w:val="00047A0A"/>
    <w:rsid w:val="000774AD"/>
    <w:rsid w:val="00081FCF"/>
    <w:rsid w:val="000B34A1"/>
    <w:rsid w:val="000B7C11"/>
    <w:rsid w:val="00113FCB"/>
    <w:rsid w:val="001C75DA"/>
    <w:rsid w:val="001E3E9C"/>
    <w:rsid w:val="00247CA8"/>
    <w:rsid w:val="0028058D"/>
    <w:rsid w:val="002915BC"/>
    <w:rsid w:val="002C6064"/>
    <w:rsid w:val="002D16DD"/>
    <w:rsid w:val="002D16EE"/>
    <w:rsid w:val="003067D2"/>
    <w:rsid w:val="00386313"/>
    <w:rsid w:val="003E68DF"/>
    <w:rsid w:val="003F12C3"/>
    <w:rsid w:val="00402AE4"/>
    <w:rsid w:val="00405423"/>
    <w:rsid w:val="00446A72"/>
    <w:rsid w:val="004554BC"/>
    <w:rsid w:val="00457F2B"/>
    <w:rsid w:val="00464176"/>
    <w:rsid w:val="004942B7"/>
    <w:rsid w:val="004C3611"/>
    <w:rsid w:val="004C3AD6"/>
    <w:rsid w:val="004D0851"/>
    <w:rsid w:val="004F083D"/>
    <w:rsid w:val="00581934"/>
    <w:rsid w:val="005A360A"/>
    <w:rsid w:val="005B218B"/>
    <w:rsid w:val="005F0703"/>
    <w:rsid w:val="00615B0C"/>
    <w:rsid w:val="006563A9"/>
    <w:rsid w:val="00694595"/>
    <w:rsid w:val="006A1B52"/>
    <w:rsid w:val="006B4C34"/>
    <w:rsid w:val="006C2E1C"/>
    <w:rsid w:val="006F7C51"/>
    <w:rsid w:val="00717C77"/>
    <w:rsid w:val="007245A6"/>
    <w:rsid w:val="00733000"/>
    <w:rsid w:val="00784CA4"/>
    <w:rsid w:val="00785A27"/>
    <w:rsid w:val="00787220"/>
    <w:rsid w:val="00790D54"/>
    <w:rsid w:val="008240B7"/>
    <w:rsid w:val="00883D8D"/>
    <w:rsid w:val="008B44EF"/>
    <w:rsid w:val="008C39A1"/>
    <w:rsid w:val="008F1E76"/>
    <w:rsid w:val="009016EE"/>
    <w:rsid w:val="0098374B"/>
    <w:rsid w:val="009A69F5"/>
    <w:rsid w:val="00A14C61"/>
    <w:rsid w:val="00A6072B"/>
    <w:rsid w:val="00A63DD6"/>
    <w:rsid w:val="00A7265E"/>
    <w:rsid w:val="00A9396B"/>
    <w:rsid w:val="00A95D78"/>
    <w:rsid w:val="00AA5E09"/>
    <w:rsid w:val="00B64986"/>
    <w:rsid w:val="00B6613B"/>
    <w:rsid w:val="00B70AD2"/>
    <w:rsid w:val="00B770EF"/>
    <w:rsid w:val="00B77D37"/>
    <w:rsid w:val="00C35F07"/>
    <w:rsid w:val="00C41C8D"/>
    <w:rsid w:val="00CE439D"/>
    <w:rsid w:val="00D924AE"/>
    <w:rsid w:val="00E32F4D"/>
    <w:rsid w:val="00E554AE"/>
    <w:rsid w:val="00EB2103"/>
    <w:rsid w:val="00EE2CFC"/>
    <w:rsid w:val="00FB7AF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PlainText">
    <w:name w:val="Plain Text"/>
    <w:basedOn w:val="Normal"/>
    <w:link w:val="PlainTextChar"/>
    <w:uiPriority w:val="99"/>
    <w:unhideWhenUsed/>
    <w:rsid w:val="003E68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E68DF"/>
    <w:rPr>
      <w:rFonts w:ascii="Consolas" w:hAnsi="Consolas"/>
      <w:sz w:val="21"/>
      <w:szCs w:val="21"/>
    </w:rPr>
  </w:style>
  <w:style w:type="character" w:styleId="FollowedHyperlink">
    <w:name w:val="FollowedHyperlink"/>
    <w:basedOn w:val="DefaultParagraphFont"/>
    <w:uiPriority w:val="99"/>
    <w:semiHidden/>
    <w:unhideWhenUsed/>
    <w:rsid w:val="00E55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PlainText">
    <w:name w:val="Plain Text"/>
    <w:basedOn w:val="Normal"/>
    <w:link w:val="PlainTextChar"/>
    <w:uiPriority w:val="99"/>
    <w:unhideWhenUsed/>
    <w:rsid w:val="003E68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E68DF"/>
    <w:rPr>
      <w:rFonts w:ascii="Consolas" w:hAnsi="Consolas"/>
      <w:sz w:val="21"/>
      <w:szCs w:val="21"/>
    </w:rPr>
  </w:style>
  <w:style w:type="character" w:styleId="FollowedHyperlink">
    <w:name w:val="FollowedHyperlink"/>
    <w:basedOn w:val="DefaultParagraphFont"/>
    <w:uiPriority w:val="99"/>
    <w:semiHidden/>
    <w:unhideWhenUsed/>
    <w:rsid w:val="00E55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9668">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06743725">
      <w:bodyDiv w:val="1"/>
      <w:marLeft w:val="0"/>
      <w:marRight w:val="0"/>
      <w:marTop w:val="0"/>
      <w:marBottom w:val="0"/>
      <w:divBdr>
        <w:top w:val="none" w:sz="0" w:space="0" w:color="auto"/>
        <w:left w:val="none" w:sz="0" w:space="0" w:color="auto"/>
        <w:bottom w:val="none" w:sz="0" w:space="0" w:color="auto"/>
        <w:right w:val="none" w:sz="0" w:space="0" w:color="auto"/>
      </w:divBdr>
    </w:div>
    <w:div w:id="1368993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6194">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056912&amp;RevisionSelectionMethod=LatestReleased" TargetMode="External"/><Relationship Id="rId18" Type="http://schemas.openxmlformats.org/officeDocument/2006/relationships/hyperlink" Target="https://greydocs.ca/urm/idcplg?IdcService=GET_FILE&amp;dDocName=GC_054522&amp;RevisionSelectionMethod=LatestReleased&amp;Rendition=We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reydocs.ca/urm/idcplg?IdcService=GET_FILE&amp;dDocName=GC_107127&amp;RevisionSelectionMethod=LatestReleased&amp;Rendition=Web" TargetMode="External"/><Relationship Id="rId7" Type="http://schemas.openxmlformats.org/officeDocument/2006/relationships/footnotes" Target="footnotes.xml"/><Relationship Id="rId12" Type="http://schemas.openxmlformats.org/officeDocument/2006/relationships/hyperlink" Target="https://greydocs.ca/urm/idcplg?IdcService=GET_FILE&amp;dDocName=GC_065165&amp;RevisionSelectionMethod=LatestReleased&amp;Rendition=Web" TargetMode="External"/><Relationship Id="rId17" Type="http://schemas.openxmlformats.org/officeDocument/2006/relationships/hyperlink" Target="http://www.e-laws.gov.on.ca/html/regs/english/elaws_regs_900877_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eydocs.ca/urm/idcplg?IdcService=GET_FILE&amp;dDocName=GC_059277&amp;RevisionSelectionMethod=LatestReleased&amp;Rendition=Web" TargetMode="External"/><Relationship Id="rId20" Type="http://schemas.openxmlformats.org/officeDocument/2006/relationships/hyperlink" Target="https://greydocs.ca/urm/idcplg?IdcService=GET_FILE&amp;dDocName=GC_050886&amp;RevisionSelectionMethod=LatestReleased&amp;Rendition=Web"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007047&amp;RevisionSelectionMethod=LatestReleased&amp;Rendition=Web"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reydocs.ca/urm/idcplg?IdcService=GET_FILE&amp;dDocName=GC_059440&amp;RevisionSelectionMethod=LatestReleased&amp;Rendition=Web"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greydocs.ca/urm/idcplg?IdcService=GET_FILE&amp;dDocName=GC_106591&amp;RevisionSelectionMethod=LatestReleased&amp;Rendition=Web" TargetMode="External"/><Relationship Id="rId19" Type="http://schemas.openxmlformats.org/officeDocument/2006/relationships/hyperlink" Target="https://greydocs.ca/urm/idcplg?IdcService=GET_FILE&amp;dDocName=GC_034046&amp;RevisionSelectionMethod=LatestReleased&amp;Rendition=We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laws.gov.on.ca/html/statutes/english/elaws_statutes_90m56_e.htm" TargetMode="External"/><Relationship Id="rId22" Type="http://schemas.openxmlformats.org/officeDocument/2006/relationships/hyperlink" Target="https://greydocs.ca/urm/idcplg?IdcService=GET_FILE&amp;dDocName=GC_107084&amp;RevisionSelectionMethod=LatestReleased&amp;Rendition=Web"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2013-04-26T10:45:00+00:00</sentdate>
    <Superseded xmlns="e6cd7bd4-3f3e-4495-b8c9-139289cd76e6">false</Superseded>
    <Year xmlns="e6cd7bd4-3f3e-4495-b8c9-139289cd76e6" xsi:nil="true"/>
    <originator xmlns="e6cd7bd4-3f3e-4495-b8c9-139289cd76e6">salatas</originator>
    <policyNumber xmlns="e6cd7bd4-3f3e-4495-b8c9-139289cd76e6">MS-GR-001</policyNumber>
    <documentNumber xmlns="e6cd7bd4-3f3e-4495-b8c9-139289cd76e6" xsi:nil="true"/>
    <Municipality xmlns="e6cd7bd4-3f3e-4495-b8c9-139289cd76e6" xsi:nil="true"/>
    <gcNumber xmlns="e6cd7bd4-3f3e-4495-b8c9-139289cd76e6">GC_106999</gcNumber>
    <recordCategory xmlns="e6cd7bd4-3f3e-4495-b8c9-139289cd76e6">A09</recordCategory>
    <isPublic xmlns="e6cd7bd4-3f3e-4495-b8c9-139289cd76e6">true</isPublic>
    <sharedId xmlns="e6cd7bd4-3f3e-4495-b8c9-139289cd76e6">VeAbCRJBSNWysb6DssUm9Q</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870023c0-9b34-4f4d-b16e-213b87bde672</NodeRef>
    <addressees xmlns="e6cd7bd4-3f3e-4495-b8c9-139289cd76e6" xsi:nil="true"/>
    <identifier xmlns="e6cd7bd4-3f3e-4495-b8c9-139289cd76e6">2016-1466885026030</identifier>
    <reviewAsOf xmlns="e6cd7bd4-3f3e-4495-b8c9-139289cd76e6">2021-08-22T06:49:43+00:00</reviewAsOf>
    <bylawNumber xmlns="e6cd7bd4-3f3e-4495-b8c9-139289cd76e6" xsi:nil="true"/>
    <addressee xmlns="e6cd7bd4-3f3e-4495-b8c9-139289cd76e6" xsi:nil="true"/>
    <recordOriginatingLocation xmlns="e6cd7bd4-3f3e-4495-b8c9-139289cd76e6">workspace://SpacesStore/3b98c0c7-f7fe-4608-9b8a-2a9d98cdd7ec</recordOriginatingLocation>
    <agreementNumber xmlns="e6cd7bd4-3f3e-4495-b8c9-139289cd76e6" xsi:nil="true"/>
    <policyApprovedBy xmlns="e6cd7bd4-3f3e-4495-b8c9-139289cd76e6" xsi:nil="true"/>
    <procedureNumber xmlns="e6cd7bd4-3f3e-4495-b8c9-139289cd76e6">MS-GR-001-001</procedureNumber>
    <purchaseNumber xmlns="e6cd7bd4-3f3e-4495-b8c9-139289cd76e6" xsi:nil="true"/>
  </documentManagement>
</p:properties>
</file>

<file path=customXml/itemProps1.xml><?xml version="1.0" encoding="utf-8"?>
<ds:datastoreItem xmlns:ds="http://schemas.openxmlformats.org/officeDocument/2006/customXml" ds:itemID="{77B7F3E2-2DB2-4892-9408-2889270DD796}">
  <ds:schemaRefs>
    <ds:schemaRef ds:uri="http://schemas.openxmlformats.org/officeDocument/2006/bibliography"/>
  </ds:schemaRefs>
</ds:datastoreItem>
</file>

<file path=customXml/itemProps2.xml><?xml version="1.0" encoding="utf-8"?>
<ds:datastoreItem xmlns:ds="http://schemas.openxmlformats.org/officeDocument/2006/customXml" ds:itemID="{C5DDF2D3-178A-4EBD-909C-E0AC76B3C73D}"/>
</file>

<file path=customXml/itemProps3.xml><?xml version="1.0" encoding="utf-8"?>
<ds:datastoreItem xmlns:ds="http://schemas.openxmlformats.org/officeDocument/2006/customXml" ds:itemID="{C94486FD-33BD-4E22-BE85-A0F3452F8249}"/>
</file>

<file path=customXml/itemProps4.xml><?xml version="1.0" encoding="utf-8"?>
<ds:datastoreItem xmlns:ds="http://schemas.openxmlformats.org/officeDocument/2006/customXml" ds:itemID="{E8A2EF3F-7DF8-48B7-8B7B-EEE0B60408CD}"/>
</file>

<file path=customXml/itemProps5.xml><?xml version="1.0" encoding="utf-8"?>
<ds:datastoreItem xmlns:ds="http://schemas.openxmlformats.org/officeDocument/2006/customXml" ds:itemID="{E7C78852-1C09-47DC-B822-5921A1641434}"/>
</file>

<file path=docProps/app.xml><?xml version="1.0" encoding="utf-8"?>
<Properties xmlns="http://schemas.openxmlformats.org/officeDocument/2006/extended-properties" xmlns:vt="http://schemas.openxmlformats.org/officeDocument/2006/docPropsVTypes">
  <Template>Normal.dotm</Template>
  <TotalTime>270</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defrancescor</cp:lastModifiedBy>
  <cp:revision>30</cp:revision>
  <cp:lastPrinted>2013-05-15T14:22:00Z</cp:lastPrinted>
  <dcterms:created xsi:type="dcterms:W3CDTF">2013-04-26T14:47:00Z</dcterms:created>
  <dcterms:modified xsi:type="dcterms:W3CDTF">2013-07-18T19:44:00Z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