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79" w:rsidRPr="00BF7279" w:rsidRDefault="00BF7279" w:rsidP="00491D61">
      <w:pPr>
        <w:pStyle w:val="Title"/>
        <w:ind w:left="142" w:right="-142"/>
        <w:jc w:val="center"/>
        <w:rPr>
          <w:lang w:val="en-US"/>
        </w:rPr>
        <w:sectPr w:rsidR="00BF7279" w:rsidRPr="00BF7279" w:rsidSect="0088250F">
          <w:footerReference w:type="default" r:id="rId8"/>
          <w:pgSz w:w="12240" w:h="15840"/>
          <w:pgMar w:top="1440" w:right="1041" w:bottom="1440" w:left="851" w:header="510" w:footer="708" w:gutter="0"/>
          <w:cols w:num="2" w:space="720" w:equalWidth="0">
            <w:col w:w="1274" w:space="285"/>
            <w:col w:w="8080"/>
          </w:cols>
          <w:docGrid w:linePitch="360"/>
        </w:sectPr>
      </w:pPr>
      <w:r>
        <w:rPr>
          <w:noProof/>
          <w:lang w:eastAsia="en-CA"/>
        </w:rPr>
        <w:drawing>
          <wp:inline distT="0" distB="0" distL="0" distR="0">
            <wp:extent cx="738000" cy="756000"/>
            <wp:effectExtent l="0" t="0" r="5080" b="6350"/>
            <wp:docPr id="1"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y County Logo"/>
                    <pic:cNvPicPr>
                      <a:picLocks noChangeAspect="1" noChangeArrowheads="1"/>
                    </pic:cNvPicPr>
                  </pic:nvPicPr>
                  <pic:blipFill>
                    <a:blip r:embed="rId9" cstate="print"/>
                    <a:srcRect/>
                    <a:stretch>
                      <a:fillRect/>
                    </a:stretch>
                  </pic:blipFill>
                  <pic:spPr bwMode="auto">
                    <a:xfrm>
                      <a:off x="0" y="0"/>
                      <a:ext cx="738000" cy="756000"/>
                    </a:xfrm>
                    <a:prstGeom prst="rect">
                      <a:avLst/>
                    </a:prstGeom>
                    <a:noFill/>
                    <a:ln w="9525">
                      <a:noFill/>
                      <a:miter lim="800000"/>
                      <a:headEnd/>
                      <a:tailEnd/>
                    </a:ln>
                  </pic:spPr>
                </pic:pic>
              </a:graphicData>
            </a:graphic>
          </wp:inline>
        </w:drawing>
      </w:r>
      <w:r w:rsidR="00825CB9">
        <w:rPr>
          <w:lang w:val="en-US"/>
        </w:rPr>
        <w:br w:type="column"/>
      </w:r>
      <w:r>
        <w:rPr>
          <w:lang w:val="en-US"/>
        </w:rPr>
        <w:lastRenderedPageBreak/>
        <w:t>Corporation of t</w:t>
      </w:r>
      <w:bookmarkStart w:id="0" w:name="_GoBack"/>
      <w:bookmarkEnd w:id="0"/>
      <w:r>
        <w:rPr>
          <w:lang w:val="en-US"/>
        </w:rPr>
        <w:t>he County of Grey</w:t>
      </w:r>
      <w:r>
        <w:rPr>
          <w:lang w:val="en-US"/>
        </w:rPr>
        <w:br/>
      </w:r>
      <w:r w:rsidR="00804537">
        <w:rPr>
          <w:lang w:val="en-US"/>
        </w:rPr>
        <w:t xml:space="preserve">Corporate </w:t>
      </w:r>
      <w:r w:rsidR="00BA6C6B">
        <w:rPr>
          <w:lang w:val="en-US"/>
        </w:rPr>
        <w:t>Procedure</w:t>
      </w:r>
    </w:p>
    <w:tbl>
      <w:tblPr>
        <w:tblW w:w="9257" w:type="dxa"/>
        <w:jc w:val="center"/>
        <w:tblInd w:w="-5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20"/>
      </w:tblPr>
      <w:tblGrid>
        <w:gridCol w:w="5713"/>
        <w:gridCol w:w="3544"/>
      </w:tblGrid>
      <w:tr w:rsidR="009F407C" w:rsidRPr="00A81202" w:rsidTr="009F407C">
        <w:trPr>
          <w:trHeight w:val="561"/>
          <w:jc w:val="center"/>
        </w:trPr>
        <w:tc>
          <w:tcPr>
            <w:tcW w:w="9257" w:type="dxa"/>
            <w:gridSpan w:val="2"/>
            <w:shd w:val="clear" w:color="auto" w:fill="auto"/>
            <w:vAlign w:val="center"/>
          </w:tcPr>
          <w:p w:rsidR="009F407C" w:rsidRPr="00A81202" w:rsidRDefault="00D15F90" w:rsidP="00BA6C6B">
            <w:pPr>
              <w:pStyle w:val="Heading1"/>
              <w:spacing w:before="0"/>
              <w:jc w:val="center"/>
              <w:rPr>
                <w:rFonts w:ascii="Calibri" w:eastAsia="Times New Roman" w:hAnsi="Calibri" w:cs="Calibri"/>
                <w:lang w:val="en-US"/>
              </w:rPr>
            </w:pPr>
            <w:r>
              <w:rPr>
                <w:rFonts w:eastAsia="Times New Roman"/>
                <w:lang w:val="en-US"/>
              </w:rPr>
              <w:lastRenderedPageBreak/>
              <w:t>Fees and Services</w:t>
            </w:r>
          </w:p>
        </w:tc>
      </w:tr>
      <w:tr w:rsidR="00A81202" w:rsidRPr="00A81202" w:rsidTr="007C5F6A">
        <w:trPr>
          <w:trHeight w:val="544"/>
          <w:jc w:val="center"/>
        </w:trPr>
        <w:tc>
          <w:tcPr>
            <w:tcW w:w="5713" w:type="dxa"/>
            <w:vMerge w:val="restart"/>
            <w:shd w:val="clear" w:color="auto" w:fill="auto"/>
          </w:tcPr>
          <w:p w:rsidR="00A81202" w:rsidRPr="00A81202" w:rsidRDefault="00A81202" w:rsidP="00D15F90">
            <w:pPr>
              <w:widowControl w:val="0"/>
              <w:snapToGrid w:val="0"/>
              <w:spacing w:after="0" w:line="240" w:lineRule="auto"/>
              <w:rPr>
                <w:rFonts w:ascii="Calibri" w:eastAsia="Times New Roman" w:hAnsi="Calibri" w:cs="Times New Roman"/>
                <w:szCs w:val="24"/>
                <w:lang w:val="en-US"/>
              </w:rPr>
            </w:pPr>
            <w:r w:rsidRPr="00A81202">
              <w:rPr>
                <w:rFonts w:ascii="Calibri" w:eastAsia="Times New Roman" w:hAnsi="Calibri" w:cs="Times New Roman"/>
                <w:szCs w:val="24"/>
                <w:lang w:val="en-US"/>
              </w:rPr>
              <w:t xml:space="preserve">Approved by: </w:t>
            </w:r>
            <w:r w:rsidR="00D15F90">
              <w:rPr>
                <w:rFonts w:ascii="Calibri" w:eastAsia="Times New Roman" w:hAnsi="Calibri" w:cs="Times New Roman"/>
                <w:szCs w:val="24"/>
                <w:lang w:val="en-US"/>
              </w:rPr>
              <w:t xml:space="preserve"> Resolution </w:t>
            </w:r>
            <w:proofErr w:type="spellStart"/>
            <w:r w:rsidR="00D15F90">
              <w:rPr>
                <w:rFonts w:ascii="Calibri" w:eastAsia="Times New Roman" w:hAnsi="Calibri" w:cs="Times New Roman"/>
                <w:szCs w:val="24"/>
                <w:lang w:val="en-US"/>
              </w:rPr>
              <w:t>FP91</w:t>
            </w:r>
            <w:proofErr w:type="spellEnd"/>
            <w:r w:rsidR="00D15F90">
              <w:rPr>
                <w:rFonts w:ascii="Calibri" w:eastAsia="Times New Roman" w:hAnsi="Calibri" w:cs="Times New Roman"/>
                <w:szCs w:val="24"/>
                <w:lang w:val="en-US"/>
              </w:rPr>
              <w:t>-11</w:t>
            </w:r>
            <w:r w:rsidR="00BA6C6B">
              <w:rPr>
                <w:rFonts w:ascii="Calibri" w:eastAsia="Times New Roman" w:hAnsi="Calibri" w:cs="Times New Roman"/>
                <w:szCs w:val="24"/>
                <w:lang w:val="en-US"/>
              </w:rPr>
              <w:br/>
              <w:t>Endorsed by:</w:t>
            </w:r>
            <w:r w:rsidR="00D15F90">
              <w:rPr>
                <w:rFonts w:ascii="Calibri" w:eastAsia="Times New Roman" w:hAnsi="Calibri" w:cs="Times New Roman"/>
                <w:szCs w:val="24"/>
                <w:lang w:val="en-US"/>
              </w:rPr>
              <w:t xml:space="preserve"> Council</w:t>
            </w:r>
            <w:r w:rsidR="00BA6C6B">
              <w:rPr>
                <w:rFonts w:ascii="Calibri" w:eastAsia="Times New Roman" w:hAnsi="Calibri" w:cs="Times New Roman"/>
                <w:szCs w:val="24"/>
                <w:lang w:val="en-US"/>
              </w:rPr>
              <w:br/>
            </w:r>
            <w:r w:rsidRPr="00A81202">
              <w:rPr>
                <w:rFonts w:ascii="Calibri" w:eastAsia="Times New Roman" w:hAnsi="Calibri" w:cs="Times New Roman"/>
                <w:szCs w:val="24"/>
                <w:lang w:val="en-US"/>
              </w:rPr>
              <w:t xml:space="preserve">Date Approved: </w:t>
            </w:r>
            <w:r w:rsidR="00D15F90">
              <w:rPr>
                <w:rFonts w:ascii="Calibri" w:eastAsia="Times New Roman" w:hAnsi="Calibri" w:cs="Times New Roman"/>
                <w:szCs w:val="24"/>
                <w:lang w:val="en-US"/>
              </w:rPr>
              <w:t>November 1, 2011</w:t>
            </w:r>
          </w:p>
        </w:tc>
        <w:tc>
          <w:tcPr>
            <w:tcW w:w="3544" w:type="dxa"/>
            <w:shd w:val="clear" w:color="auto" w:fill="auto"/>
          </w:tcPr>
          <w:p w:rsidR="00A81202" w:rsidRPr="00A81202" w:rsidRDefault="00BA6C6B" w:rsidP="00A81202">
            <w:pPr>
              <w:widowControl w:val="0"/>
              <w:snapToGrid w:val="0"/>
              <w:spacing w:after="240" w:line="240" w:lineRule="auto"/>
              <w:rPr>
                <w:rFonts w:ascii="Calibri" w:eastAsia="Times New Roman" w:hAnsi="Calibri" w:cs="Times New Roman"/>
                <w:szCs w:val="24"/>
                <w:lang w:val="en-US"/>
              </w:rPr>
            </w:pPr>
            <w:r>
              <w:rPr>
                <w:rFonts w:ascii="Calibri" w:eastAsia="Times New Roman" w:hAnsi="Calibri" w:cs="Times New Roman"/>
                <w:szCs w:val="24"/>
                <w:lang w:val="en-US"/>
              </w:rPr>
              <w:t>Procedure #</w:t>
            </w:r>
            <w:r w:rsidR="00A81202" w:rsidRPr="00A81202">
              <w:rPr>
                <w:rFonts w:ascii="Calibri" w:eastAsia="Times New Roman" w:hAnsi="Calibri" w:cs="Times New Roman"/>
                <w:szCs w:val="24"/>
                <w:lang w:val="en-US"/>
              </w:rPr>
              <w:t>:</w:t>
            </w:r>
            <w:r w:rsidR="00D15F90">
              <w:rPr>
                <w:rFonts w:ascii="Calibri" w:eastAsia="Times New Roman" w:hAnsi="Calibri" w:cs="Times New Roman"/>
                <w:szCs w:val="24"/>
                <w:lang w:val="en-US"/>
              </w:rPr>
              <w:t xml:space="preserve"> A-FIN-002-001</w:t>
            </w:r>
          </w:p>
        </w:tc>
      </w:tr>
      <w:tr w:rsidR="00A81202" w:rsidRPr="00A81202" w:rsidTr="007C5F6A">
        <w:trPr>
          <w:trHeight w:val="516"/>
          <w:jc w:val="center"/>
        </w:trPr>
        <w:tc>
          <w:tcPr>
            <w:tcW w:w="5713" w:type="dxa"/>
            <w:vMerge/>
            <w:shd w:val="clear" w:color="auto" w:fill="auto"/>
          </w:tcPr>
          <w:p w:rsidR="00A81202" w:rsidRPr="00A81202" w:rsidRDefault="00A81202" w:rsidP="00A81202">
            <w:pPr>
              <w:widowControl w:val="0"/>
              <w:snapToGrid w:val="0"/>
              <w:spacing w:after="240" w:line="240" w:lineRule="auto"/>
              <w:rPr>
                <w:rFonts w:ascii="Calibri" w:eastAsia="Times New Roman" w:hAnsi="Calibri" w:cs="Calibri"/>
                <w:szCs w:val="20"/>
                <w:lang w:val="en-US"/>
              </w:rPr>
            </w:pPr>
          </w:p>
        </w:tc>
        <w:tc>
          <w:tcPr>
            <w:tcW w:w="3544" w:type="dxa"/>
            <w:shd w:val="clear" w:color="auto" w:fill="auto"/>
          </w:tcPr>
          <w:p w:rsidR="00A81202" w:rsidRPr="00A81202" w:rsidRDefault="00BA6C6B" w:rsidP="00A81202">
            <w:pPr>
              <w:spacing w:after="240" w:line="240" w:lineRule="auto"/>
              <w:rPr>
                <w:rFonts w:ascii="Calibri" w:eastAsia="Times New Roman" w:hAnsi="Calibri" w:cs="Times New Roman"/>
                <w:szCs w:val="24"/>
                <w:lang w:val="en-US"/>
              </w:rPr>
            </w:pPr>
            <w:r>
              <w:rPr>
                <w:rFonts w:ascii="Calibri" w:eastAsia="Times New Roman" w:hAnsi="Calibri" w:cs="Times New Roman"/>
                <w:szCs w:val="24"/>
                <w:lang w:val="en-US"/>
              </w:rPr>
              <w:t>Parent Policy</w:t>
            </w:r>
            <w:r w:rsidR="00A81202" w:rsidRPr="00A81202">
              <w:rPr>
                <w:rFonts w:ascii="Calibri" w:eastAsia="Times New Roman" w:hAnsi="Calibri" w:cs="Times New Roman"/>
                <w:szCs w:val="24"/>
                <w:lang w:val="en-US"/>
              </w:rPr>
              <w:t xml:space="preserve">: </w:t>
            </w:r>
            <w:r w:rsidR="00D15F90">
              <w:rPr>
                <w:rFonts w:ascii="Calibri" w:eastAsia="Times New Roman" w:hAnsi="Calibri" w:cs="Times New Roman"/>
                <w:szCs w:val="24"/>
                <w:lang w:val="en-US"/>
              </w:rPr>
              <w:t>A-FIN-002</w:t>
            </w:r>
          </w:p>
        </w:tc>
      </w:tr>
      <w:tr w:rsidR="00A81202" w:rsidRPr="00A81202" w:rsidTr="007C5F6A">
        <w:trPr>
          <w:trHeight w:val="544"/>
          <w:jc w:val="center"/>
        </w:trPr>
        <w:tc>
          <w:tcPr>
            <w:tcW w:w="5713" w:type="dxa"/>
            <w:shd w:val="clear" w:color="auto" w:fill="auto"/>
          </w:tcPr>
          <w:p w:rsidR="00A81202" w:rsidRPr="00A81202" w:rsidRDefault="00A81202" w:rsidP="00D15F90">
            <w:pPr>
              <w:widowControl w:val="0"/>
              <w:snapToGrid w:val="0"/>
              <w:spacing w:after="0" w:line="240" w:lineRule="auto"/>
              <w:rPr>
                <w:rFonts w:ascii="Calibri" w:eastAsia="Times New Roman" w:hAnsi="Calibri" w:cs="Times New Roman"/>
                <w:szCs w:val="24"/>
                <w:lang w:val="en-US"/>
              </w:rPr>
            </w:pPr>
            <w:r w:rsidRPr="00A81202">
              <w:rPr>
                <w:rFonts w:ascii="Calibri" w:eastAsia="Times New Roman" w:hAnsi="Calibri" w:cs="Times New Roman"/>
                <w:szCs w:val="24"/>
                <w:lang w:val="en-US"/>
              </w:rPr>
              <w:t xml:space="preserve">Last </w:t>
            </w:r>
            <w:r w:rsidR="00BA6C6B">
              <w:rPr>
                <w:rFonts w:ascii="Calibri" w:eastAsia="Times New Roman" w:hAnsi="Calibri" w:cs="Times New Roman"/>
                <w:szCs w:val="24"/>
                <w:lang w:val="en-US"/>
              </w:rPr>
              <w:t>Modified</w:t>
            </w:r>
            <w:r w:rsidRPr="00A81202">
              <w:rPr>
                <w:rFonts w:ascii="Calibri" w:eastAsia="Times New Roman" w:hAnsi="Calibri" w:cs="Times New Roman"/>
                <w:szCs w:val="24"/>
                <w:lang w:val="en-US"/>
              </w:rPr>
              <w:t xml:space="preserve"> Date:</w:t>
            </w:r>
            <w:r w:rsidR="00D15F90">
              <w:rPr>
                <w:rFonts w:ascii="Calibri" w:eastAsia="Times New Roman" w:hAnsi="Calibri" w:cs="Times New Roman"/>
                <w:szCs w:val="24"/>
                <w:lang w:val="en-US"/>
              </w:rPr>
              <w:t xml:space="preserve"> October 7, 2008</w:t>
            </w:r>
            <w:r w:rsidRPr="00A81202">
              <w:rPr>
                <w:rFonts w:ascii="Calibri" w:eastAsia="Times New Roman" w:hAnsi="Calibri" w:cs="Times New Roman"/>
                <w:szCs w:val="24"/>
                <w:lang w:val="en-US"/>
              </w:rPr>
              <w:br/>
              <w:t xml:space="preserve">Replaces: </w:t>
            </w:r>
            <w:r w:rsidR="00D15F90">
              <w:rPr>
                <w:rFonts w:ascii="Calibri" w:eastAsia="Times New Roman" w:hAnsi="Calibri" w:cs="Times New Roman"/>
                <w:szCs w:val="24"/>
                <w:lang w:val="en-US"/>
              </w:rPr>
              <w:t>ADM-06-07; By-law 4544-08/4449-07</w:t>
            </w:r>
            <w:r w:rsidRPr="00A81202">
              <w:rPr>
                <w:rFonts w:ascii="Calibri" w:eastAsia="Times New Roman" w:hAnsi="Calibri" w:cs="Times New Roman"/>
                <w:szCs w:val="24"/>
                <w:lang w:val="en-US"/>
              </w:rPr>
              <w:br/>
              <w:t xml:space="preserve">Scheduled for Review by: </w:t>
            </w:r>
            <w:r w:rsidR="00D15F90">
              <w:rPr>
                <w:rFonts w:ascii="Calibri" w:eastAsia="Times New Roman" w:hAnsi="Calibri" w:cs="Times New Roman"/>
                <w:szCs w:val="24"/>
                <w:lang w:val="en-US"/>
              </w:rPr>
              <w:t>2015</w:t>
            </w:r>
          </w:p>
        </w:tc>
        <w:tc>
          <w:tcPr>
            <w:tcW w:w="3544" w:type="dxa"/>
            <w:shd w:val="clear" w:color="auto" w:fill="auto"/>
          </w:tcPr>
          <w:p w:rsidR="00A81202" w:rsidRPr="00A81202" w:rsidRDefault="00BA6C6B" w:rsidP="00A81202">
            <w:pPr>
              <w:widowControl w:val="0"/>
              <w:snapToGrid w:val="0"/>
              <w:spacing w:after="240" w:line="240" w:lineRule="auto"/>
              <w:rPr>
                <w:rFonts w:ascii="Calibri" w:eastAsia="Times New Roman" w:hAnsi="Calibri" w:cs="Times New Roman"/>
                <w:szCs w:val="24"/>
                <w:lang w:val="en-US"/>
              </w:rPr>
            </w:pPr>
            <w:r>
              <w:rPr>
                <w:rFonts w:ascii="Calibri" w:eastAsia="Times New Roman" w:hAnsi="Calibri" w:cs="Times New Roman"/>
                <w:szCs w:val="24"/>
                <w:lang w:val="en-US"/>
              </w:rPr>
              <w:t>Author</w:t>
            </w:r>
            <w:r w:rsidR="00A81202" w:rsidRPr="00A81202">
              <w:rPr>
                <w:rFonts w:ascii="Calibri" w:eastAsia="Times New Roman" w:hAnsi="Calibri" w:cs="Times New Roman"/>
                <w:szCs w:val="24"/>
                <w:lang w:val="en-US"/>
              </w:rPr>
              <w:t>:</w:t>
            </w:r>
            <w:r w:rsidR="00D15F90">
              <w:rPr>
                <w:rFonts w:ascii="Calibri" w:eastAsia="Times New Roman" w:hAnsi="Calibri" w:cs="Times New Roman"/>
                <w:szCs w:val="24"/>
                <w:lang w:val="en-US"/>
              </w:rPr>
              <w:t xml:space="preserve"> Finance Department</w:t>
            </w:r>
          </w:p>
        </w:tc>
      </w:tr>
      <w:tr w:rsidR="00A81202" w:rsidRPr="00A81202" w:rsidTr="007C5F6A">
        <w:trPr>
          <w:trHeight w:val="561"/>
          <w:jc w:val="center"/>
        </w:trPr>
        <w:tc>
          <w:tcPr>
            <w:tcW w:w="9257" w:type="dxa"/>
            <w:gridSpan w:val="2"/>
            <w:shd w:val="clear" w:color="auto" w:fill="auto"/>
          </w:tcPr>
          <w:p w:rsidR="00A81202" w:rsidRPr="00BA6C6B" w:rsidRDefault="00A81202" w:rsidP="00A81202">
            <w:pPr>
              <w:spacing w:after="0" w:line="240" w:lineRule="auto"/>
              <w:rPr>
                <w:rStyle w:val="Strong"/>
              </w:rPr>
            </w:pPr>
            <w:r w:rsidRPr="00BA6C6B">
              <w:rPr>
                <w:rStyle w:val="Strong"/>
              </w:rPr>
              <w:t>References and Related Documents</w:t>
            </w:r>
          </w:p>
          <w:p w:rsidR="00D15F90" w:rsidRDefault="003B2F86" w:rsidP="00D15F90">
            <w:pPr>
              <w:pStyle w:val="ListParagraph"/>
              <w:spacing w:after="0" w:line="240" w:lineRule="auto"/>
            </w:pPr>
            <w:hyperlink r:id="rId10" w:tooltip="Fees and Services" w:history="1">
              <w:r w:rsidR="00D15F90">
                <w:rPr>
                  <w:rStyle w:val="Hyperlink"/>
                </w:rPr>
                <w:t>Fees and Services</w:t>
              </w:r>
            </w:hyperlink>
          </w:p>
          <w:p w:rsidR="00D15F90" w:rsidRDefault="003B2F86" w:rsidP="00D15F90">
            <w:pPr>
              <w:pStyle w:val="ListParagraph"/>
              <w:spacing w:after="0" w:line="240" w:lineRule="auto"/>
              <w:rPr>
                <w:rFonts w:ascii="Arial" w:hAnsi="Arial" w:cs="Arial"/>
                <w:iCs/>
                <w:lang w:eastAsia="en-CA"/>
              </w:rPr>
            </w:pPr>
            <w:hyperlink r:id="rId11" w:tooltip="By-Law 4735-11 Fees and Service Charges " w:history="1">
              <w:r w:rsidR="00D15F90">
                <w:rPr>
                  <w:rStyle w:val="Hyperlink"/>
                </w:rPr>
                <w:t xml:space="preserve">By-Law 4735-11 Fees and Service Charges </w:t>
              </w:r>
            </w:hyperlink>
          </w:p>
          <w:p w:rsidR="00A81202" w:rsidRPr="00A81202" w:rsidRDefault="003B2F86" w:rsidP="00D15F90">
            <w:pPr>
              <w:pStyle w:val="ListParagraph"/>
              <w:spacing w:after="0" w:line="240" w:lineRule="auto"/>
            </w:pPr>
            <w:hyperlink r:id="rId12" w:tooltip="Fees and Service Charges Schedules Revised January 1 2012 for October 2010 to September 2011 Consumer Price Index By-law 4735-11" w:history="1">
              <w:r w:rsidR="00D15F90">
                <w:rPr>
                  <w:rStyle w:val="Hyperlink"/>
                </w:rPr>
                <w:t>Fees and Service Charges Schedules Revised January 1 2012 for October 2010 to September 2011 Consumer Price Index By-law 4735-11</w:t>
              </w:r>
            </w:hyperlink>
          </w:p>
        </w:tc>
      </w:tr>
      <w:tr w:rsidR="00BA6C6B" w:rsidRPr="00A81202" w:rsidTr="007C5F6A">
        <w:trPr>
          <w:trHeight w:val="561"/>
          <w:jc w:val="center"/>
        </w:trPr>
        <w:tc>
          <w:tcPr>
            <w:tcW w:w="9257" w:type="dxa"/>
            <w:gridSpan w:val="2"/>
            <w:shd w:val="clear" w:color="auto" w:fill="auto"/>
          </w:tcPr>
          <w:p w:rsidR="00BA6C6B" w:rsidRPr="00BA6C6B" w:rsidRDefault="00BA6C6B" w:rsidP="00A81202">
            <w:pPr>
              <w:spacing w:after="0" w:line="240" w:lineRule="auto"/>
              <w:rPr>
                <w:rStyle w:val="Strong"/>
              </w:rPr>
            </w:pPr>
            <w:r w:rsidRPr="00BA6C6B">
              <w:rPr>
                <w:rStyle w:val="Strong"/>
              </w:rPr>
              <w:t xml:space="preserve">Forms </w:t>
            </w:r>
          </w:p>
        </w:tc>
      </w:tr>
    </w:tbl>
    <w:p w:rsidR="00825CB9" w:rsidRDefault="00A81202" w:rsidP="00825CB9">
      <w:pPr>
        <w:pStyle w:val="Heading2"/>
        <w:rPr>
          <w:lang w:val="en-US"/>
        </w:rPr>
      </w:pPr>
      <w:r>
        <w:rPr>
          <w:lang w:val="en-US"/>
        </w:rPr>
        <w:t>P</w:t>
      </w:r>
      <w:r w:rsidR="00D15F90">
        <w:rPr>
          <w:lang w:val="en-US"/>
        </w:rPr>
        <w:t>urpose</w:t>
      </w:r>
      <w:r>
        <w:rPr>
          <w:lang w:val="en-US"/>
        </w:rPr>
        <w:t xml:space="preserve"> Statement</w:t>
      </w:r>
    </w:p>
    <w:p w:rsidR="00825CB9" w:rsidRPr="00D15F90" w:rsidRDefault="00D15F90" w:rsidP="00825CB9">
      <w:r w:rsidRPr="00D15F90">
        <w:t xml:space="preserve">The purpose of this procedure is to provide the administrative mechanisms to ensure that the County of Grey’s fees and service charges remain current and in force. </w:t>
      </w:r>
    </w:p>
    <w:p w:rsidR="00A81202" w:rsidRDefault="00A81202" w:rsidP="00A81202">
      <w:pPr>
        <w:pStyle w:val="Heading2"/>
        <w:rPr>
          <w:lang w:val="en-US"/>
        </w:rPr>
      </w:pPr>
      <w:r>
        <w:rPr>
          <w:lang w:val="en-US"/>
        </w:rPr>
        <w:t>Scope</w:t>
      </w:r>
    </w:p>
    <w:p w:rsidR="00D15F90" w:rsidRPr="00D15F90" w:rsidRDefault="00D15F90" w:rsidP="00D15F90">
      <w:r w:rsidRPr="00D15F90">
        <w:t>In an effort to ensure that fees remain current, annually, on January 1</w:t>
      </w:r>
      <w:r w:rsidRPr="00D15F90">
        <w:rPr>
          <w:vertAlign w:val="superscript"/>
        </w:rPr>
        <w:t>st</w:t>
      </w:r>
      <w:r w:rsidRPr="00D15F90">
        <w:t xml:space="preserve"> of each year, the fees listed in the fees and service schedules of the by-law be automatically increased on a percentage basis to match the average annual increase in the Statistics Canada consumer price index for Ontario as of September 30th of the previous year, if the consumer price index shows an average increase. Any fees which are set by legislation or by contract would be exempt from this annual increase.</w:t>
      </w:r>
    </w:p>
    <w:p w:rsidR="00A81202" w:rsidRPr="00D15F90" w:rsidRDefault="00D15F90" w:rsidP="00A81202">
      <w:r w:rsidRPr="00D15F90">
        <w:t>The proposed automatic annual increase would not preclude departments from bringing forward as recommendations any revisions to fees throughout the year as needed.</w:t>
      </w:r>
    </w:p>
    <w:p w:rsidR="00D15F90" w:rsidRDefault="00D15F90" w:rsidP="00D15F90">
      <w:pPr>
        <w:pStyle w:val="Heading2"/>
        <w:rPr>
          <w:lang w:val="en-US"/>
        </w:rPr>
      </w:pPr>
      <w:r>
        <w:rPr>
          <w:lang w:val="en-US"/>
        </w:rPr>
        <w:t>Procedure</w:t>
      </w:r>
    </w:p>
    <w:p w:rsidR="00D15F90" w:rsidRDefault="00D15F90" w:rsidP="00D15F90">
      <w:pPr>
        <w:numPr>
          <w:ilvl w:val="0"/>
          <w:numId w:val="1"/>
        </w:numPr>
        <w:rPr>
          <w:iCs/>
        </w:rPr>
      </w:pPr>
      <w:r w:rsidRPr="00D15F90">
        <w:rPr>
          <w:iCs/>
        </w:rPr>
        <w:t>The finance department will update the fees and services by-law schedules annually in accordance with the consumer price index.</w:t>
      </w:r>
    </w:p>
    <w:p w:rsidR="00D15F90" w:rsidRPr="00D15F90" w:rsidRDefault="00D15F90" w:rsidP="00D15F90">
      <w:pPr>
        <w:numPr>
          <w:ilvl w:val="0"/>
          <w:numId w:val="1"/>
        </w:numPr>
        <w:rPr>
          <w:iCs/>
        </w:rPr>
      </w:pPr>
      <w:r w:rsidRPr="00D15F90">
        <w:rPr>
          <w:iCs/>
        </w:rPr>
        <w:lastRenderedPageBreak/>
        <w:t>The clerk’s department will ensure that only the current version of the policy and procedure is available on the corporate website and that an updated schedule is appended to the fees and services by-law.</w:t>
      </w:r>
    </w:p>
    <w:p w:rsidR="00D15F90" w:rsidRPr="00D15F90" w:rsidRDefault="00D15F90" w:rsidP="00D15F90">
      <w:pPr>
        <w:numPr>
          <w:ilvl w:val="0"/>
          <w:numId w:val="1"/>
        </w:numPr>
        <w:rPr>
          <w:iCs/>
        </w:rPr>
      </w:pPr>
      <w:r w:rsidRPr="00D15F90">
        <w:rPr>
          <w:iCs/>
        </w:rPr>
        <w:t xml:space="preserve">Directors wishing to include new fees and service charges or update fees and service charges beyond the consumer price index shall submit a report to the respective </w:t>
      </w:r>
      <w:r>
        <w:rPr>
          <w:iCs/>
        </w:rPr>
        <w:t>c</w:t>
      </w:r>
      <w:r w:rsidRPr="00D15F90">
        <w:rPr>
          <w:iCs/>
        </w:rPr>
        <w:t xml:space="preserve">ommittee for consideration and recommendation to County Council.     </w:t>
      </w:r>
    </w:p>
    <w:p w:rsidR="00D15F90" w:rsidRDefault="00D15F90" w:rsidP="00D15F90">
      <w:pPr>
        <w:pStyle w:val="Heading2"/>
        <w:rPr>
          <w:lang w:val="en-US"/>
        </w:rPr>
      </w:pPr>
      <w:proofErr w:type="spellStart"/>
      <w:r>
        <w:rPr>
          <w:lang w:val="en-US"/>
        </w:rPr>
        <w:t>Responsibilties</w:t>
      </w:r>
      <w:proofErr w:type="spellEnd"/>
    </w:p>
    <w:p w:rsidR="00D15F90" w:rsidRDefault="00D15F90" w:rsidP="00D15F90">
      <w:pPr>
        <w:pStyle w:val="Heading3"/>
        <w:rPr>
          <w:lang w:val="en-US"/>
        </w:rPr>
      </w:pPr>
      <w:r>
        <w:rPr>
          <w:lang w:val="en-US"/>
        </w:rPr>
        <w:t>Finance</w:t>
      </w:r>
    </w:p>
    <w:p w:rsidR="00D15F90" w:rsidRPr="00D15F90" w:rsidRDefault="00D15F90" w:rsidP="00D15F90">
      <w:pPr>
        <w:rPr>
          <w:u w:val="single"/>
        </w:rPr>
      </w:pPr>
      <w:r w:rsidRPr="00D15F90">
        <w:t>The accounting supervisor is responsible for the administration, maintenance and communication of this procedure.</w:t>
      </w:r>
    </w:p>
    <w:p w:rsidR="00D15F90" w:rsidRDefault="00D15F90" w:rsidP="00D15F90">
      <w:pPr>
        <w:pStyle w:val="Heading3"/>
        <w:rPr>
          <w:lang w:val="en-US"/>
        </w:rPr>
      </w:pPr>
      <w:r>
        <w:rPr>
          <w:lang w:val="en-US"/>
        </w:rPr>
        <w:t>County Clerk</w:t>
      </w:r>
    </w:p>
    <w:p w:rsidR="00D15F90" w:rsidRPr="00D15F90" w:rsidRDefault="00D15F90" w:rsidP="00D15F90">
      <w:r w:rsidRPr="00D15F90">
        <w:t>The administrative assistant is responsible for ensuring that the website is current, that the appropriate by-law amendments are brought forward for Council’s consideration and for maintaining the corporate record of the fees and services by-law.</w:t>
      </w:r>
    </w:p>
    <w:p w:rsidR="00D15F90" w:rsidRPr="00825CB9" w:rsidRDefault="00D15F90" w:rsidP="00D15F90">
      <w:pPr>
        <w:rPr>
          <w:lang w:val="en-US"/>
        </w:rPr>
      </w:pPr>
    </w:p>
    <w:p w:rsidR="00A81202" w:rsidRPr="00825CB9" w:rsidRDefault="00A81202" w:rsidP="00825CB9">
      <w:pPr>
        <w:rPr>
          <w:lang w:val="en-US"/>
        </w:rPr>
      </w:pPr>
    </w:p>
    <w:p w:rsidR="00BF7279" w:rsidRPr="00BF7279" w:rsidRDefault="00BF7279">
      <w:pPr>
        <w:rPr>
          <w:lang w:val="en-US"/>
        </w:rPr>
      </w:pPr>
    </w:p>
    <w:sectPr w:rsidR="00BF7279" w:rsidRPr="00BF7279" w:rsidSect="00A81202">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046" w:rsidRDefault="00181046" w:rsidP="00825CB9">
      <w:pPr>
        <w:spacing w:after="0" w:line="240" w:lineRule="auto"/>
      </w:pPr>
      <w:r>
        <w:separator/>
      </w:r>
    </w:p>
  </w:endnote>
  <w:endnote w:type="continuationSeparator" w:id="0">
    <w:p w:rsidR="00181046" w:rsidRDefault="00181046" w:rsidP="00825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7C" w:rsidRDefault="009F407C" w:rsidP="0088250F">
    <w:pPr>
      <w:pStyle w:val="Footer"/>
      <w:pBdr>
        <w:bottom w:val="single" w:sz="4" w:space="1" w:color="auto"/>
      </w:pBdr>
      <w:tabs>
        <w:tab w:val="clear" w:pos="9360"/>
        <w:tab w:val="right" w:pos="10206"/>
      </w:tabs>
      <w:rPr>
        <w:sz w:val="20"/>
        <w:szCs w:val="20"/>
      </w:rPr>
    </w:pPr>
  </w:p>
  <w:p w:rsidR="009F407C" w:rsidRPr="00825CB9" w:rsidRDefault="00D15F90" w:rsidP="00825CB9">
    <w:pPr>
      <w:pStyle w:val="Footer"/>
      <w:tabs>
        <w:tab w:val="clear" w:pos="9360"/>
        <w:tab w:val="right" w:pos="10206"/>
      </w:tabs>
      <w:rPr>
        <w:sz w:val="20"/>
        <w:szCs w:val="20"/>
      </w:rPr>
    </w:pPr>
    <w:r>
      <w:rPr>
        <w:sz w:val="20"/>
        <w:szCs w:val="20"/>
      </w:rPr>
      <w:t>Fees and Services</w:t>
    </w:r>
    <w:r w:rsidR="009F407C" w:rsidRPr="00825CB9">
      <w:rPr>
        <w:sz w:val="20"/>
        <w:szCs w:val="20"/>
      </w:rPr>
      <w:ptab w:relativeTo="margin" w:alignment="center" w:leader="none"/>
    </w:r>
    <w:r w:rsidR="003B2F86" w:rsidRPr="00825CB9">
      <w:rPr>
        <w:sz w:val="20"/>
        <w:szCs w:val="20"/>
      </w:rPr>
      <w:fldChar w:fldCharType="begin"/>
    </w:r>
    <w:r w:rsidR="009F407C" w:rsidRPr="00825CB9">
      <w:rPr>
        <w:sz w:val="20"/>
        <w:szCs w:val="20"/>
      </w:rPr>
      <w:instrText xml:space="preserve"> PAGE   \* MERGEFORMAT </w:instrText>
    </w:r>
    <w:r w:rsidR="003B2F86" w:rsidRPr="00825CB9">
      <w:rPr>
        <w:sz w:val="20"/>
        <w:szCs w:val="20"/>
      </w:rPr>
      <w:fldChar w:fldCharType="separate"/>
    </w:r>
    <w:r w:rsidR="006F4A9A">
      <w:rPr>
        <w:noProof/>
        <w:sz w:val="20"/>
        <w:szCs w:val="20"/>
      </w:rPr>
      <w:t>1</w:t>
    </w:r>
    <w:r w:rsidR="003B2F86" w:rsidRPr="00825CB9">
      <w:rPr>
        <w:noProof/>
        <w:sz w:val="20"/>
        <w:szCs w:val="20"/>
      </w:rPr>
      <w:fldChar w:fldCharType="end"/>
    </w:r>
    <w:r w:rsidR="009F407C" w:rsidRPr="00825CB9">
      <w:rPr>
        <w:sz w:val="20"/>
        <w:szCs w:val="20"/>
      </w:rPr>
      <w:ptab w:relativeTo="margin" w:alignment="right" w:leader="none"/>
    </w:r>
    <w:r w:rsidR="009F407C">
      <w:rPr>
        <w:sz w:val="20"/>
        <w:szCs w:val="20"/>
      </w:rPr>
      <w:t>Date</w:t>
    </w:r>
    <w:r>
      <w:rPr>
        <w:sz w:val="20"/>
        <w:szCs w:val="20"/>
      </w:rPr>
      <w:t>: November 1,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046" w:rsidRDefault="00181046" w:rsidP="00825CB9">
      <w:pPr>
        <w:spacing w:after="0" w:line="240" w:lineRule="auto"/>
      </w:pPr>
      <w:r>
        <w:separator/>
      </w:r>
    </w:p>
  </w:footnote>
  <w:footnote w:type="continuationSeparator" w:id="0">
    <w:p w:rsidR="00181046" w:rsidRDefault="00181046" w:rsidP="00825C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E5C3B"/>
    <w:multiLevelType w:val="hybridMultilevel"/>
    <w:tmpl w:val="7328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7279"/>
    <w:rsid w:val="00181046"/>
    <w:rsid w:val="002A4FC0"/>
    <w:rsid w:val="003B2F86"/>
    <w:rsid w:val="00491D61"/>
    <w:rsid w:val="00620563"/>
    <w:rsid w:val="006F4A9A"/>
    <w:rsid w:val="007C5F6A"/>
    <w:rsid w:val="00804537"/>
    <w:rsid w:val="00825CB9"/>
    <w:rsid w:val="0088250F"/>
    <w:rsid w:val="008E76F7"/>
    <w:rsid w:val="009F407C"/>
    <w:rsid w:val="00A81202"/>
    <w:rsid w:val="00BA6C6B"/>
    <w:rsid w:val="00BF7279"/>
    <w:rsid w:val="00D15F90"/>
    <w:rsid w:val="00FE21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B9"/>
    <w:rPr>
      <w:sz w:val="24"/>
    </w:rPr>
  </w:style>
  <w:style w:type="paragraph" w:styleId="Heading1">
    <w:name w:val="heading 1"/>
    <w:basedOn w:val="Normal"/>
    <w:next w:val="Normal"/>
    <w:link w:val="Heading1Char"/>
    <w:uiPriority w:val="9"/>
    <w:qFormat/>
    <w:rsid w:val="008E7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C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7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8E76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5C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paragraph" w:styleId="ListParagraph">
    <w:name w:val="List Paragraph"/>
    <w:basedOn w:val="Normal"/>
    <w:uiPriority w:val="34"/>
    <w:qFormat/>
    <w:rsid w:val="00BA6C6B"/>
    <w:pPr>
      <w:ind w:left="720"/>
      <w:contextualSpacing/>
    </w:pPr>
  </w:style>
  <w:style w:type="character" w:styleId="Strong">
    <w:name w:val="Strong"/>
    <w:basedOn w:val="DefaultParagraphFont"/>
    <w:uiPriority w:val="22"/>
    <w:qFormat/>
    <w:rsid w:val="00BA6C6B"/>
    <w:rPr>
      <w:b/>
      <w:bCs/>
    </w:rPr>
  </w:style>
  <w:style w:type="character" w:customStyle="1" w:styleId="Heading3Char">
    <w:name w:val="Heading 3 Char"/>
    <w:basedOn w:val="DefaultParagraphFont"/>
    <w:link w:val="Heading3"/>
    <w:uiPriority w:val="9"/>
    <w:rsid w:val="00BA6C6B"/>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D15F90"/>
    <w:rPr>
      <w:color w:val="0000FF" w:themeColor="hyperlink"/>
      <w:u w:val="single"/>
    </w:rPr>
  </w:style>
  <w:style w:type="character" w:styleId="FollowedHyperlink">
    <w:name w:val="FollowedHyperlink"/>
    <w:basedOn w:val="DefaultParagraphFont"/>
    <w:rsid w:val="00D15F9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B9"/>
    <w:rPr>
      <w:sz w:val="24"/>
    </w:rPr>
  </w:style>
  <w:style w:type="paragraph" w:styleId="Heading1">
    <w:name w:val="heading 1"/>
    <w:basedOn w:val="Normal"/>
    <w:next w:val="Normal"/>
    <w:link w:val="Heading1Char"/>
    <w:uiPriority w:val="9"/>
    <w:qFormat/>
    <w:rsid w:val="008E7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C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7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8E76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5C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paragraph" w:styleId="ListParagraph">
    <w:name w:val="List Paragraph"/>
    <w:basedOn w:val="Normal"/>
    <w:uiPriority w:val="34"/>
    <w:qFormat/>
    <w:rsid w:val="00BA6C6B"/>
    <w:pPr>
      <w:ind w:left="720"/>
      <w:contextualSpacing/>
    </w:pPr>
  </w:style>
  <w:style w:type="character" w:styleId="Strong">
    <w:name w:val="Strong"/>
    <w:basedOn w:val="DefaultParagraphFont"/>
    <w:uiPriority w:val="22"/>
    <w:qFormat/>
    <w:rsid w:val="00BA6C6B"/>
    <w:rPr>
      <w:b/>
      <w:bCs/>
    </w:rPr>
  </w:style>
  <w:style w:type="character" w:customStyle="1" w:styleId="Heading3Char">
    <w:name w:val="Heading 3 Char"/>
    <w:basedOn w:val="DefaultParagraphFont"/>
    <w:link w:val="Heading3"/>
    <w:uiPriority w:val="9"/>
    <w:rsid w:val="00BA6C6B"/>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eydocs.greycounty.ca/ucm/idcplg?IdcService=GET_FILE&amp;dDocName=GC_054208&amp;RevisionSelectionMethod=LatestReleased&amp;Rendition=Web"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ydocs.greycounty.ca/ucm/idcplg?IdcService=GET_FILE&amp;dDocName=GC_050885&amp;RevisionSelectionMethod=LatestReleased&amp;Rendition=Web"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greydocs.greycounty.ca/ucm/idcplg?IdcService=GET_FILE&amp;dDocName=GC_052727&amp;RevisionSelectionMethod=LatestReleased&amp;Rendition=Web"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BA78E5EFDC80CB41B98FEBBAF927EF1C" ma:contentTypeVersion="820" ma:contentTypeDescription="" ma:contentTypeScope="" ma:versionID="026cb04f8bbcd3b0fe4e704731630bcb">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2011-11-14T13:42:00+00:00</sentdate>
    <Superseded xmlns="e6cd7bd4-3f3e-4495-b8c9-139289cd76e6">false</Superseded>
    <Year xmlns="e6cd7bd4-3f3e-4495-b8c9-139289cd76e6" xsi:nil="true"/>
    <originator xmlns="e6cd7bd4-3f3e-4495-b8c9-139289cd76e6">nunnok</originator>
    <policyNumber xmlns="e6cd7bd4-3f3e-4495-b8c9-139289cd76e6">A-FIN-002</policyNumber>
    <documentNumber xmlns="e6cd7bd4-3f3e-4495-b8c9-139289cd76e6" xsi:nil="true"/>
    <Municipality xmlns="e6cd7bd4-3f3e-4495-b8c9-139289cd76e6" xsi:nil="true"/>
    <gcNumber xmlns="e6cd7bd4-3f3e-4495-b8c9-139289cd76e6">GC_052730</gcNumber>
    <recordCategory xmlns="e6cd7bd4-3f3e-4495-b8c9-139289cd76e6">A09</recordCategory>
    <isPublic xmlns="e6cd7bd4-3f3e-4495-b8c9-139289cd76e6">true</isPublic>
    <sharedId xmlns="e6cd7bd4-3f3e-4495-b8c9-139289cd76e6">GNzPTnmsTxeE_r7BrvVgzg</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eadcb43f-e3a4-4298-a22f-cc5c869a7653</NodeRef>
    <addressees xmlns="e6cd7bd4-3f3e-4495-b8c9-139289cd76e6" xsi:nil="true"/>
    <identifier xmlns="e6cd7bd4-3f3e-4495-b8c9-139289cd76e6">2016-1466963946888</identifier>
    <reviewAsOf xmlns="e6cd7bd4-3f3e-4495-b8c9-139289cd76e6">2021-08-22T06:50:51+00:00</reviewAsOf>
    <bylawNumber xmlns="e6cd7bd4-3f3e-4495-b8c9-139289cd76e6" xsi:nil="true"/>
    <addressee xmlns="e6cd7bd4-3f3e-4495-b8c9-139289cd76e6" xsi:nil="true"/>
    <recordOriginatingLocation xmlns="e6cd7bd4-3f3e-4495-b8c9-139289cd76e6">workspace://SpacesStore/8d5da47b-f352-42bc-b272-6f1a6d8ebd18</recordOriginatingLocation>
    <agreementNumber xmlns="e6cd7bd4-3f3e-4495-b8c9-139289cd76e6" xsi:nil="true"/>
    <policyApprovedBy xmlns="e6cd7bd4-3f3e-4495-b8c9-139289cd76e6" xsi:nil="true"/>
    <procedureNumber xmlns="e6cd7bd4-3f3e-4495-b8c9-139289cd76e6">A-FIN-002-001</procedureNumber>
    <purchaseNumber xmlns="e6cd7bd4-3f3e-4495-b8c9-139289cd76e6" xsi:nil="true"/>
  </documentManagement>
</p:properties>
</file>

<file path=customXml/itemProps1.xml><?xml version="1.0" encoding="utf-8"?>
<ds:datastoreItem xmlns:ds="http://schemas.openxmlformats.org/officeDocument/2006/customXml" ds:itemID="{D4995774-6AA4-4883-8E4D-6670D57E1DAB}">
  <ds:schemaRefs>
    <ds:schemaRef ds:uri="http://schemas.openxmlformats.org/officeDocument/2006/bibliography"/>
  </ds:schemaRefs>
</ds:datastoreItem>
</file>

<file path=customXml/itemProps2.xml><?xml version="1.0" encoding="utf-8"?>
<ds:datastoreItem xmlns:ds="http://schemas.openxmlformats.org/officeDocument/2006/customXml" ds:itemID="{E268B955-330E-4A2A-94AA-E592263ABFA6}"/>
</file>

<file path=customXml/itemProps3.xml><?xml version="1.0" encoding="utf-8"?>
<ds:datastoreItem xmlns:ds="http://schemas.openxmlformats.org/officeDocument/2006/customXml" ds:itemID="{180BFBCE-0BFA-4D40-94AB-B3245D3E877F}"/>
</file>

<file path=customXml/itemProps4.xml><?xml version="1.0" encoding="utf-8"?>
<ds:datastoreItem xmlns:ds="http://schemas.openxmlformats.org/officeDocument/2006/customXml" ds:itemID="{F12081C3-DAF2-4241-9D84-C343B4F8A028}"/>
</file>

<file path=customXml/itemProps5.xml><?xml version="1.0" encoding="utf-8"?>
<ds:datastoreItem xmlns:ds="http://schemas.openxmlformats.org/officeDocument/2006/customXml" ds:itemID="{4DA6009F-C0DC-4EF6-8775-E53FA1A48C7D}"/>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straint</cp:lastModifiedBy>
  <cp:revision>3</cp:revision>
  <cp:lastPrinted>2012-02-10T19:47:00Z</cp:lastPrinted>
  <dcterms:created xsi:type="dcterms:W3CDTF">2012-02-13T21:17:00Z</dcterms:created>
  <dcterms:modified xsi:type="dcterms:W3CDTF">2012-02-17T16:24:00Z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0x0101002C4164E063A41A4487A7365A660F11180100BA78E5EFDC80CB41B98FEBBAF927EF1C</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