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1620" w14:textId="7646AD3C" w:rsidR="0057320C" w:rsidRPr="006666FC" w:rsidRDefault="0057320C" w:rsidP="0057320C">
      <w:pPr>
        <w:pStyle w:val="Heading1"/>
        <w:spacing w:before="0"/>
        <w:rPr>
          <w:rFonts w:ascii="Arial" w:eastAsia="Times New Roman" w:hAnsi="Arial" w:cs="Arial"/>
          <w:color w:val="943634" w:themeColor="accent2" w:themeShade="BF"/>
          <w:sz w:val="28"/>
          <w:szCs w:val="28"/>
        </w:rPr>
      </w:pPr>
      <w:r w:rsidRPr="006666FC">
        <w:rPr>
          <w:rFonts w:ascii="Arial" w:eastAsia="Times New Roman" w:hAnsi="Arial" w:cs="Arial"/>
          <w:color w:val="943634" w:themeColor="accent2" w:themeShade="BF"/>
          <w:sz w:val="28"/>
          <w:szCs w:val="28"/>
        </w:rPr>
        <w:t>Redevelopment</w:t>
      </w:r>
      <w:r w:rsidR="0025633C" w:rsidRPr="006666FC">
        <w:rPr>
          <w:rFonts w:ascii="Arial" w:eastAsia="Times New Roman" w:hAnsi="Arial" w:cs="Arial"/>
          <w:color w:val="943634" w:themeColor="accent2" w:themeShade="BF"/>
          <w:sz w:val="28"/>
          <w:szCs w:val="28"/>
        </w:rPr>
        <w:t xml:space="preserve"> </w:t>
      </w:r>
    </w:p>
    <w:p w14:paraId="39B287F7" w14:textId="77777777" w:rsidR="0057320C" w:rsidRPr="006666FC" w:rsidRDefault="0057320C" w:rsidP="0057320C">
      <w:pPr>
        <w:rPr>
          <w:rFonts w:ascii="Arial" w:hAnsi="Arial" w:cs="Arial"/>
          <w:sz w:val="20"/>
          <w:szCs w:val="20"/>
        </w:rPr>
      </w:pPr>
      <w:r w:rsidRPr="006666FC">
        <w:rPr>
          <w:rFonts w:ascii="Arial" w:hAnsi="Arial" w:cs="Arial"/>
          <w:sz w:val="20"/>
          <w:szCs w:val="20"/>
        </w:rPr>
        <w:t>A credit will be provided against development charges owing where buildings or structures have been demolished to permit the redevelopment of the property.</w:t>
      </w:r>
    </w:p>
    <w:p w14:paraId="1116ED5E" w14:textId="77777777" w:rsidR="0057320C" w:rsidRPr="006666FC" w:rsidRDefault="0057320C" w:rsidP="002D5EE0">
      <w:pPr>
        <w:spacing w:after="360"/>
        <w:rPr>
          <w:rFonts w:ascii="Arial" w:hAnsi="Arial" w:cs="Arial"/>
          <w:sz w:val="20"/>
          <w:szCs w:val="20"/>
        </w:rPr>
      </w:pPr>
      <w:r w:rsidRPr="006666FC">
        <w:rPr>
          <w:rFonts w:ascii="Arial" w:hAnsi="Arial" w:cs="Arial"/>
          <w:sz w:val="20"/>
          <w:szCs w:val="20"/>
        </w:rPr>
        <w:t>The eligibility for demolition credits is restricted to demolitions that occur within five years of the redevelopment of the property.</w:t>
      </w:r>
    </w:p>
    <w:p w14:paraId="379CF26F"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Development Charge Collection</w:t>
      </w:r>
    </w:p>
    <w:p w14:paraId="1B0D6A83" w14:textId="77777777" w:rsidR="0057320C" w:rsidRPr="006666FC" w:rsidRDefault="0057320C" w:rsidP="0057320C">
      <w:pPr>
        <w:rPr>
          <w:rFonts w:ascii="Arial" w:hAnsi="Arial" w:cs="Arial"/>
          <w:sz w:val="20"/>
          <w:szCs w:val="20"/>
        </w:rPr>
      </w:pPr>
      <w:r w:rsidRPr="006666FC">
        <w:rPr>
          <w:rFonts w:ascii="Arial" w:hAnsi="Arial" w:cs="Arial"/>
          <w:sz w:val="20"/>
          <w:szCs w:val="20"/>
        </w:rPr>
        <w:t>Development charges are collected by the area municipalities in the County of Grey at the issuance of the building permit.</w:t>
      </w:r>
    </w:p>
    <w:p w14:paraId="6CBBE36D" w14:textId="77777777" w:rsidR="0057320C" w:rsidRPr="006666FC" w:rsidRDefault="0057320C" w:rsidP="002D5EE0">
      <w:pPr>
        <w:spacing w:after="360"/>
        <w:rPr>
          <w:rFonts w:ascii="Arial" w:hAnsi="Arial" w:cs="Arial"/>
          <w:sz w:val="20"/>
          <w:szCs w:val="20"/>
        </w:rPr>
      </w:pPr>
      <w:r w:rsidRPr="006666FC">
        <w:rPr>
          <w:rFonts w:ascii="Arial" w:hAnsi="Arial" w:cs="Arial"/>
          <w:sz w:val="20"/>
          <w:szCs w:val="20"/>
        </w:rPr>
        <w:t>Development charges are payable to the area municipality and are remitted to the County on a monthly basis.</w:t>
      </w:r>
    </w:p>
    <w:p w14:paraId="7F10C381"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Unpaid Charges added to Tax Roll</w:t>
      </w:r>
    </w:p>
    <w:p w14:paraId="41293642" w14:textId="77777777" w:rsidR="0057320C" w:rsidRPr="00121675" w:rsidRDefault="0057320C" w:rsidP="002D5EE0">
      <w:pPr>
        <w:spacing w:after="360"/>
        <w:rPr>
          <w:rFonts w:ascii="Arial" w:hAnsi="Arial" w:cs="Arial"/>
          <w:bCs/>
          <w:i/>
          <w:iCs/>
          <w:sz w:val="22"/>
          <w:szCs w:val="22"/>
        </w:rPr>
      </w:pPr>
      <w:r w:rsidRPr="00121675">
        <w:rPr>
          <w:rFonts w:ascii="Arial" w:hAnsi="Arial" w:cs="Arial"/>
          <w:sz w:val="22"/>
          <w:szCs w:val="22"/>
        </w:rPr>
        <w:t>Where a development charge or any part of it remains unpaid after it is payable, the amount unpaid will be added to the tax roll and will be collected in the same manner as taxes.</w:t>
      </w:r>
    </w:p>
    <w:p w14:paraId="65134855"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Statement of the Treasurer</w:t>
      </w:r>
    </w:p>
    <w:p w14:paraId="2FCAD439" w14:textId="77777777" w:rsidR="0057320C" w:rsidRPr="0020325D" w:rsidRDefault="0057320C" w:rsidP="0057320C">
      <w:pPr>
        <w:rPr>
          <w:rFonts w:ascii="Arial" w:hAnsi="Arial" w:cs="Arial"/>
          <w:sz w:val="20"/>
          <w:szCs w:val="20"/>
        </w:rPr>
      </w:pPr>
      <w:r w:rsidRPr="0020325D">
        <w:rPr>
          <w:rFonts w:ascii="Arial" w:hAnsi="Arial" w:cs="Arial"/>
          <w:sz w:val="20"/>
          <w:szCs w:val="20"/>
        </w:rPr>
        <w:t>The County Treasurer is required to produce an annual statement showing detailed information about each reserve fund established to account for development charge revenues.</w:t>
      </w:r>
    </w:p>
    <w:p w14:paraId="133C6567" w14:textId="77777777" w:rsidR="0057320C" w:rsidRPr="00121675" w:rsidRDefault="0057320C" w:rsidP="002D5EE0">
      <w:pPr>
        <w:spacing w:after="360"/>
        <w:rPr>
          <w:rFonts w:ascii="Arial" w:hAnsi="Arial" w:cs="Arial"/>
          <w:sz w:val="22"/>
          <w:szCs w:val="22"/>
        </w:rPr>
      </w:pPr>
      <w:r w:rsidRPr="0020325D">
        <w:rPr>
          <w:rFonts w:ascii="Arial" w:hAnsi="Arial" w:cs="Arial"/>
          <w:sz w:val="20"/>
          <w:szCs w:val="20"/>
        </w:rPr>
        <w:t xml:space="preserve">The statement will document the continuity of each reserve fund, including the description of each service, opening and closing balances, details of any credit </w:t>
      </w:r>
      <w:r w:rsidRPr="00121675">
        <w:rPr>
          <w:rFonts w:ascii="Arial" w:hAnsi="Arial" w:cs="Arial"/>
          <w:sz w:val="22"/>
          <w:szCs w:val="22"/>
        </w:rPr>
        <w:t xml:space="preserve">transactions, details of any borrowing from the reserve fund that may have occurred, the amount spent on </w:t>
      </w:r>
      <w:r w:rsidRPr="00121675">
        <w:rPr>
          <w:rFonts w:ascii="Arial" w:hAnsi="Arial" w:cs="Arial"/>
          <w:sz w:val="22"/>
          <w:szCs w:val="22"/>
        </w:rPr>
        <w:t xml:space="preserve">growth related projects, the portion of each project that is funded from the reserve fund and the portion funded from other sources of financing.  </w:t>
      </w:r>
    </w:p>
    <w:p w14:paraId="0F0AD9F7"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Additional Information</w:t>
      </w:r>
    </w:p>
    <w:p w14:paraId="4370948B" w14:textId="3FB7956A" w:rsidR="0057320C" w:rsidRPr="006666FC" w:rsidRDefault="0057320C" w:rsidP="00121675">
      <w:pPr>
        <w:spacing w:after="1800"/>
        <w:rPr>
          <w:rFonts w:ascii="Arial" w:eastAsia="Times New Roman" w:hAnsi="Arial" w:cs="Arial"/>
          <w:b/>
          <w:bCs/>
          <w:i/>
          <w:iCs/>
          <w:sz w:val="22"/>
          <w:szCs w:val="22"/>
        </w:rPr>
      </w:pPr>
      <w:r w:rsidRPr="00121675">
        <w:rPr>
          <w:rFonts w:ascii="Arial" w:hAnsi="Arial" w:cs="Arial"/>
          <w:sz w:val="22"/>
          <w:szCs w:val="22"/>
        </w:rPr>
        <w:t xml:space="preserve">This pamphlet is intended to give an overview of development charges. For more complete information, reference should be made to the County’s annual development charges statement, the Development Charges Background Study and By-laws </w:t>
      </w:r>
      <w:r w:rsidR="001B71B4" w:rsidRPr="00121675">
        <w:rPr>
          <w:rFonts w:ascii="Arial" w:hAnsi="Arial" w:cs="Arial"/>
          <w:sz w:val="22"/>
          <w:szCs w:val="22"/>
        </w:rPr>
        <w:t>4949-16 and 4950-16</w:t>
      </w:r>
      <w:r w:rsidRPr="00121675">
        <w:rPr>
          <w:rFonts w:ascii="Arial" w:hAnsi="Arial" w:cs="Arial"/>
          <w:sz w:val="22"/>
          <w:szCs w:val="22"/>
        </w:rPr>
        <w:t xml:space="preserve"> which are available on the County’s website at </w:t>
      </w:r>
      <w:hyperlink r:id="rId8" w:history="1">
        <w:r w:rsidR="001F3EDF" w:rsidRPr="00121675">
          <w:rPr>
            <w:rStyle w:val="Hyperlink"/>
            <w:rFonts w:ascii="Arial" w:hAnsi="Arial" w:cs="Arial"/>
            <w:sz w:val="22"/>
            <w:szCs w:val="22"/>
          </w:rPr>
          <w:t>www.grey.ca</w:t>
        </w:r>
      </w:hyperlink>
      <w:r w:rsidRPr="00121675">
        <w:rPr>
          <w:rFonts w:ascii="Arial" w:hAnsi="Arial" w:cs="Arial"/>
          <w:sz w:val="22"/>
          <w:szCs w:val="22"/>
        </w:rPr>
        <w:t xml:space="preserve"> or in printed version in the County Clerk’s office during regular office </w:t>
      </w:r>
      <w:r w:rsidRPr="00B214F8">
        <w:rPr>
          <w:rFonts w:ascii="Arial" w:hAnsi="Arial" w:cs="Arial"/>
          <w:sz w:val="22"/>
          <w:szCs w:val="22"/>
        </w:rPr>
        <w:t>hours of 8:30 am – 4:30 pm, Mon-Fri.</w:t>
      </w:r>
      <w:r w:rsidR="007A745C" w:rsidRPr="00B214F8">
        <w:rPr>
          <w:rFonts w:ascii="Arial" w:hAnsi="Arial" w:cs="Arial"/>
          <w:sz w:val="22"/>
          <w:szCs w:val="22"/>
        </w:rPr>
        <w:t xml:space="preserve"> </w:t>
      </w:r>
      <w:r w:rsidRPr="006666FC">
        <w:rPr>
          <w:rFonts w:ascii="Arial" w:eastAsia="Times New Roman" w:hAnsi="Arial" w:cs="Arial"/>
          <w:sz w:val="22"/>
          <w:szCs w:val="22"/>
        </w:rPr>
        <w:t>For further information please contact:</w:t>
      </w:r>
    </w:p>
    <w:p w14:paraId="50FF776E"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both"/>
        <w:rPr>
          <w:rFonts w:ascii="Arial" w:eastAsia="Times New Roman" w:hAnsi="Arial" w:cs="Arial"/>
          <w:b/>
          <w:bCs/>
          <w:i/>
          <w:iCs/>
          <w:sz w:val="20"/>
          <w:szCs w:val="20"/>
        </w:rPr>
      </w:pPr>
    </w:p>
    <w:p w14:paraId="4CACF0F6"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b/>
          <w:sz w:val="22"/>
          <w:szCs w:val="22"/>
        </w:rPr>
      </w:pPr>
      <w:r w:rsidRPr="006666FC">
        <w:rPr>
          <w:rFonts w:ascii="Arial" w:eastAsia="Times New Roman" w:hAnsi="Arial" w:cs="Arial"/>
          <w:b/>
          <w:sz w:val="22"/>
          <w:szCs w:val="22"/>
        </w:rPr>
        <w:t>Kevin Weppler</w:t>
      </w:r>
    </w:p>
    <w:p w14:paraId="21A4F525" w14:textId="5EBFA450" w:rsidR="0057320C" w:rsidRPr="006666FC" w:rsidRDefault="00FB4F09"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b/>
          <w:sz w:val="22"/>
          <w:szCs w:val="22"/>
        </w:rPr>
      </w:pPr>
      <w:r>
        <w:rPr>
          <w:rFonts w:ascii="Arial" w:eastAsia="Times New Roman" w:hAnsi="Arial" w:cs="Arial"/>
          <w:b/>
          <w:sz w:val="22"/>
          <w:szCs w:val="22"/>
        </w:rPr>
        <w:t>Director of Corporate Services</w:t>
      </w:r>
    </w:p>
    <w:p w14:paraId="505D55DF"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County of Grey</w:t>
      </w:r>
    </w:p>
    <w:p w14:paraId="27B42627"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595 9</w:t>
      </w:r>
      <w:r w:rsidRPr="006666FC">
        <w:rPr>
          <w:rFonts w:ascii="Arial" w:eastAsia="Times New Roman" w:hAnsi="Arial" w:cs="Arial"/>
          <w:sz w:val="22"/>
          <w:szCs w:val="22"/>
          <w:vertAlign w:val="superscript"/>
        </w:rPr>
        <w:t>th</w:t>
      </w:r>
      <w:r w:rsidRPr="006666FC">
        <w:rPr>
          <w:rFonts w:ascii="Arial" w:eastAsia="Times New Roman" w:hAnsi="Arial" w:cs="Arial"/>
          <w:sz w:val="22"/>
          <w:szCs w:val="22"/>
        </w:rPr>
        <w:t xml:space="preserve"> Avenue East</w:t>
      </w:r>
    </w:p>
    <w:p w14:paraId="45286D5A"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Owen Sound, Ontario, N4K 3E3</w:t>
      </w:r>
    </w:p>
    <w:p w14:paraId="3AF7DE9A"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Tel: (519) 372-0219 ext. 1318</w:t>
      </w:r>
    </w:p>
    <w:p w14:paraId="522389AB"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Toll Free: 1-800-567-4739</w:t>
      </w:r>
    </w:p>
    <w:p w14:paraId="38654927"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color w:val="0000FF"/>
          <w:sz w:val="22"/>
          <w:szCs w:val="22"/>
          <w:u w:val="single"/>
        </w:rPr>
      </w:pPr>
      <w:r w:rsidRPr="006666FC">
        <w:rPr>
          <w:rFonts w:ascii="Arial" w:eastAsia="Times New Roman" w:hAnsi="Arial" w:cs="Arial"/>
          <w:sz w:val="22"/>
          <w:szCs w:val="22"/>
        </w:rPr>
        <w:t xml:space="preserve">Email: </w:t>
      </w:r>
      <w:hyperlink r:id="rId9" w:history="1">
        <w:r w:rsidRPr="006666FC">
          <w:rPr>
            <w:rFonts w:ascii="Arial" w:eastAsia="Times New Roman" w:hAnsi="Arial" w:cs="Arial"/>
            <w:color w:val="0000FF"/>
            <w:sz w:val="22"/>
            <w:szCs w:val="22"/>
            <w:u w:val="single"/>
          </w:rPr>
          <w:t>kevin.weppler@grey.ca</w:t>
        </w:r>
      </w:hyperlink>
    </w:p>
    <w:p w14:paraId="20B42374" w14:textId="77777777" w:rsidR="0057320C" w:rsidRPr="006666FC" w:rsidRDefault="0057320C" w:rsidP="0057320C">
      <w:pPr>
        <w:pBdr>
          <w:top w:val="single" w:sz="8" w:space="2" w:color="auto"/>
          <w:left w:val="single" w:sz="8" w:space="4" w:color="auto"/>
          <w:bottom w:val="single" w:sz="8" w:space="1" w:color="auto"/>
          <w:right w:val="single" w:sz="8" w:space="4" w:color="auto"/>
        </w:pBdr>
        <w:spacing w:after="0" w:line="240" w:lineRule="auto"/>
        <w:jc w:val="center"/>
        <w:rPr>
          <w:rFonts w:ascii="Arial" w:eastAsia="Times New Roman" w:hAnsi="Arial" w:cs="Arial"/>
          <w:sz w:val="20"/>
          <w:szCs w:val="20"/>
        </w:rPr>
      </w:pPr>
    </w:p>
    <w:p w14:paraId="39C0DB27" w14:textId="43B8AE75" w:rsidR="0057320C" w:rsidRDefault="0057320C" w:rsidP="0057320C">
      <w:pPr>
        <w:jc w:val="center"/>
        <w:rPr>
          <w:rFonts w:ascii="Arial" w:hAnsi="Arial" w:cs="Arial"/>
          <w:sz w:val="20"/>
          <w:szCs w:val="20"/>
        </w:rPr>
      </w:pPr>
    </w:p>
    <w:p w14:paraId="34FC13A6" w14:textId="77777777" w:rsidR="00121675" w:rsidRDefault="00121675" w:rsidP="0057320C">
      <w:pPr>
        <w:jc w:val="center"/>
        <w:rPr>
          <w:rFonts w:ascii="Arial" w:hAnsi="Arial" w:cs="Arial"/>
          <w:sz w:val="20"/>
          <w:szCs w:val="20"/>
        </w:rPr>
      </w:pPr>
    </w:p>
    <w:p w14:paraId="7C466E22" w14:textId="77777777" w:rsidR="00121675" w:rsidRPr="006666FC" w:rsidRDefault="00121675" w:rsidP="0057320C">
      <w:pPr>
        <w:jc w:val="center"/>
        <w:rPr>
          <w:rFonts w:ascii="Arial" w:hAnsi="Arial" w:cs="Arial"/>
          <w:sz w:val="20"/>
          <w:szCs w:val="20"/>
        </w:rPr>
      </w:pPr>
    </w:p>
    <w:p w14:paraId="36A441FB" w14:textId="77777777" w:rsidR="0057320C" w:rsidRPr="006666FC" w:rsidRDefault="0057320C" w:rsidP="0057320C">
      <w:pPr>
        <w:spacing w:before="360"/>
        <w:jc w:val="center"/>
        <w:rPr>
          <w:rFonts w:ascii="Arial" w:hAnsi="Arial" w:cs="Arial"/>
          <w:sz w:val="20"/>
          <w:szCs w:val="20"/>
        </w:rPr>
      </w:pPr>
      <w:r w:rsidRPr="006666FC">
        <w:rPr>
          <w:rFonts w:ascii="Arial" w:eastAsia="Times New Roman" w:hAnsi="Arial" w:cs="Arial"/>
          <w:noProof/>
          <w:sz w:val="20"/>
          <w:szCs w:val="20"/>
          <w:lang w:val="en-CA" w:eastAsia="en-CA"/>
        </w:rPr>
        <w:drawing>
          <wp:inline distT="0" distB="0" distL="0" distR="0" wp14:anchorId="318ED7CE" wp14:editId="4FF9B900">
            <wp:extent cx="1971040" cy="1704975"/>
            <wp:effectExtent l="0" t="0" r="0" b="9525"/>
            <wp:docPr id="5" name="Picture 5"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logone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71040" cy="1704975"/>
                    </a:xfrm>
                    <a:prstGeom prst="rect">
                      <a:avLst/>
                    </a:prstGeom>
                    <a:noFill/>
                    <a:ln>
                      <a:noFill/>
                    </a:ln>
                    <a:extLst>
                      <a:ext uri="{53640926-AAD7-44D8-BBD7-CCE9431645EC}">
                        <a14:shadowObscured xmlns:a14="http://schemas.microsoft.com/office/drawing/2010/main"/>
                      </a:ext>
                    </a:extLst>
                  </pic:spPr>
                </pic:pic>
              </a:graphicData>
            </a:graphic>
          </wp:inline>
        </w:drawing>
      </w:r>
    </w:p>
    <w:p w14:paraId="568419B7" w14:textId="77777777" w:rsidR="0057320C" w:rsidRPr="006666FC" w:rsidRDefault="0057320C" w:rsidP="0057320C">
      <w:pPr>
        <w:pStyle w:val="Heading1"/>
        <w:spacing w:after="480"/>
        <w:jc w:val="center"/>
        <w:rPr>
          <w:rFonts w:ascii="Arial" w:eastAsia="Times New Roman" w:hAnsi="Arial" w:cs="Arial"/>
        </w:rPr>
      </w:pPr>
      <w:r w:rsidRPr="006666FC">
        <w:rPr>
          <w:rFonts w:ascii="Arial" w:eastAsia="Times New Roman" w:hAnsi="Arial" w:cs="Arial"/>
        </w:rPr>
        <w:t>Development Charges Information</w:t>
      </w:r>
    </w:p>
    <w:p w14:paraId="24DB7206" w14:textId="77777777" w:rsidR="0057320C" w:rsidRPr="006666FC" w:rsidRDefault="0057320C" w:rsidP="0057320C">
      <w:pPr>
        <w:pStyle w:val="Heading1"/>
        <w:spacing w:after="480"/>
        <w:jc w:val="center"/>
        <w:rPr>
          <w:rFonts w:ascii="Arial" w:eastAsia="Times New Roman" w:hAnsi="Arial" w:cs="Arial"/>
        </w:rPr>
      </w:pPr>
      <w:r w:rsidRPr="006666FC">
        <w:rPr>
          <w:rFonts w:ascii="Arial" w:eastAsia="Times New Roman" w:hAnsi="Arial" w:cs="Arial"/>
          <w:sz w:val="28"/>
          <w:szCs w:val="28"/>
        </w:rPr>
        <w:t xml:space="preserve">By-Laws </w:t>
      </w:r>
      <w:r w:rsidR="001B71B4" w:rsidRPr="006666FC">
        <w:rPr>
          <w:rFonts w:ascii="Arial" w:eastAsia="Times New Roman" w:hAnsi="Arial" w:cs="Arial"/>
          <w:sz w:val="28"/>
          <w:szCs w:val="28"/>
        </w:rPr>
        <w:t>4949-16 and 4950-16</w:t>
      </w:r>
    </w:p>
    <w:p w14:paraId="11B22347" w14:textId="77777777" w:rsidR="0057320C" w:rsidRPr="006666FC" w:rsidRDefault="0057320C" w:rsidP="0057320C">
      <w:pPr>
        <w:jc w:val="center"/>
        <w:rPr>
          <w:rFonts w:ascii="Arial" w:hAnsi="Arial" w:cs="Arial"/>
        </w:rPr>
      </w:pPr>
      <w:r w:rsidRPr="006666FC">
        <w:rPr>
          <w:rFonts w:ascii="Arial" w:hAnsi="Arial" w:cs="Arial"/>
        </w:rPr>
        <w:t>This pamphlet summarizes the Development Charge By-Laws for the County of Grey</w:t>
      </w:r>
    </w:p>
    <w:p w14:paraId="7A001F20" w14:textId="601C3609" w:rsidR="0057320C" w:rsidRPr="006666FC" w:rsidRDefault="0057320C" w:rsidP="0057320C">
      <w:pPr>
        <w:spacing w:after="600"/>
        <w:jc w:val="center"/>
        <w:rPr>
          <w:rFonts w:ascii="Arial" w:hAnsi="Arial" w:cs="Arial"/>
          <w:sz w:val="28"/>
          <w:szCs w:val="20"/>
        </w:rPr>
      </w:pPr>
      <w:r w:rsidRPr="006666FC">
        <w:rPr>
          <w:rFonts w:ascii="Arial" w:hAnsi="Arial" w:cs="Arial"/>
        </w:rPr>
        <w:t>January 20</w:t>
      </w:r>
      <w:r w:rsidR="003D4783">
        <w:rPr>
          <w:rFonts w:ascii="Arial" w:hAnsi="Arial" w:cs="Arial"/>
        </w:rPr>
        <w:t>20</w:t>
      </w:r>
    </w:p>
    <w:p w14:paraId="71B701A3" w14:textId="77777777" w:rsidR="0057320C" w:rsidRPr="006666FC" w:rsidRDefault="0057320C" w:rsidP="0057320C">
      <w:pPr>
        <w:rPr>
          <w:rFonts w:ascii="Arial" w:hAnsi="Arial" w:cs="Arial"/>
          <w:sz w:val="20"/>
          <w:szCs w:val="20"/>
        </w:rPr>
      </w:pPr>
      <w:r w:rsidRPr="006666FC">
        <w:rPr>
          <w:rFonts w:ascii="Arial" w:hAnsi="Arial" w:cs="Arial"/>
          <w:sz w:val="20"/>
          <w:szCs w:val="20"/>
        </w:rPr>
        <w:t>The information contained herein is intended only as a guide. Interested parties should review the approved by-laws and consult the County of Grey staff to determine the applicable charges that may apply to specific development proposals.</w:t>
      </w:r>
    </w:p>
    <w:p w14:paraId="14C6C387" w14:textId="77777777" w:rsidR="0057320C" w:rsidRPr="006666FC" w:rsidRDefault="0057320C" w:rsidP="0057320C">
      <w:pPr>
        <w:pStyle w:val="Heading1"/>
        <w:spacing w:before="0"/>
        <w:rPr>
          <w:rFonts w:ascii="Arial" w:eastAsia="Times New Roman" w:hAnsi="Arial" w:cs="Arial"/>
          <w:color w:val="943634" w:themeColor="accent2" w:themeShade="BF"/>
        </w:rPr>
      </w:pPr>
      <w:r w:rsidRPr="006666FC">
        <w:rPr>
          <w:rFonts w:ascii="Arial" w:hAnsi="Arial" w:cs="Arial"/>
          <w:sz w:val="20"/>
          <w:szCs w:val="20"/>
        </w:rPr>
        <w:br w:type="column"/>
      </w:r>
      <w:r w:rsidRPr="006666FC">
        <w:rPr>
          <w:rFonts w:ascii="Arial" w:eastAsia="Times New Roman" w:hAnsi="Arial" w:cs="Arial"/>
          <w:color w:val="943634" w:themeColor="accent2" w:themeShade="BF"/>
          <w:sz w:val="28"/>
          <w:szCs w:val="28"/>
        </w:rPr>
        <w:lastRenderedPageBreak/>
        <w:t>Purpose of Development Charges</w:t>
      </w:r>
    </w:p>
    <w:p w14:paraId="2847C885" w14:textId="77777777" w:rsidR="0057320C" w:rsidRPr="006666FC" w:rsidRDefault="0057320C" w:rsidP="005626DA">
      <w:pPr>
        <w:spacing w:after="240" w:line="240" w:lineRule="auto"/>
        <w:rPr>
          <w:rFonts w:ascii="Arial" w:hAnsi="Arial" w:cs="Arial"/>
          <w:sz w:val="20"/>
          <w:szCs w:val="20"/>
        </w:rPr>
      </w:pPr>
      <w:r w:rsidRPr="006666FC">
        <w:rPr>
          <w:rFonts w:ascii="Arial" w:hAnsi="Arial" w:cs="Arial"/>
          <w:sz w:val="20"/>
          <w:szCs w:val="20"/>
        </w:rPr>
        <w:t>Development charges help to finance capital projects required to meet the increased need for services resulting from growth and development. Development charges are fees and may only be used for the purpose for which they are collected.</w:t>
      </w:r>
    </w:p>
    <w:p w14:paraId="64E44BD0" w14:textId="77777777" w:rsidR="0057320C" w:rsidRPr="00121675" w:rsidRDefault="0057320C" w:rsidP="005626DA">
      <w:pPr>
        <w:pStyle w:val="Heading1"/>
        <w:spacing w:before="36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Background Study</w:t>
      </w:r>
    </w:p>
    <w:p w14:paraId="253D5EEE" w14:textId="77777777" w:rsidR="0057320C" w:rsidRPr="006666FC" w:rsidRDefault="0057320C" w:rsidP="0057320C">
      <w:pPr>
        <w:rPr>
          <w:rFonts w:ascii="Arial" w:hAnsi="Arial" w:cs="Arial"/>
          <w:sz w:val="20"/>
          <w:szCs w:val="20"/>
        </w:rPr>
      </w:pPr>
      <w:r w:rsidRPr="006666FC">
        <w:rPr>
          <w:rFonts w:ascii="Arial" w:hAnsi="Arial" w:cs="Arial"/>
          <w:sz w:val="20"/>
          <w:szCs w:val="20"/>
        </w:rPr>
        <w:t>The Development Charges Act, 1997 and Ontario Regulation 82/98 require that</w:t>
      </w:r>
      <w:r w:rsidR="001B71B4" w:rsidRPr="006666FC">
        <w:rPr>
          <w:rFonts w:ascii="Arial" w:hAnsi="Arial" w:cs="Arial"/>
          <w:sz w:val="20"/>
          <w:szCs w:val="20"/>
        </w:rPr>
        <w:t xml:space="preserve"> </w:t>
      </w:r>
      <w:r w:rsidRPr="006666FC">
        <w:rPr>
          <w:rFonts w:ascii="Arial" w:hAnsi="Arial" w:cs="Arial"/>
          <w:sz w:val="20"/>
          <w:szCs w:val="20"/>
        </w:rPr>
        <w:t>a development charges background study be undertaken, that includes:</w:t>
      </w:r>
    </w:p>
    <w:p w14:paraId="3E6F874F" w14:textId="77777777" w:rsidR="0057320C" w:rsidRPr="006666FC" w:rsidRDefault="0057320C" w:rsidP="002D5EE0">
      <w:pPr>
        <w:pStyle w:val="ListParagraph"/>
        <w:numPr>
          <w:ilvl w:val="0"/>
          <w:numId w:val="3"/>
        </w:numPr>
        <w:ind w:left="360" w:hanging="180"/>
        <w:rPr>
          <w:rFonts w:ascii="Arial" w:hAnsi="Arial" w:cs="Arial"/>
          <w:sz w:val="20"/>
          <w:szCs w:val="20"/>
        </w:rPr>
      </w:pPr>
      <w:r w:rsidRPr="006666FC">
        <w:rPr>
          <w:rFonts w:ascii="Arial" w:hAnsi="Arial" w:cs="Arial"/>
          <w:sz w:val="20"/>
          <w:szCs w:val="20"/>
        </w:rPr>
        <w:t>A forecast of the amount, type and location of future development;</w:t>
      </w:r>
    </w:p>
    <w:p w14:paraId="57A6BA0A" w14:textId="77777777" w:rsidR="0057320C" w:rsidRPr="006666FC" w:rsidRDefault="0057320C" w:rsidP="002D5EE0">
      <w:pPr>
        <w:pStyle w:val="ListParagraph"/>
        <w:numPr>
          <w:ilvl w:val="0"/>
          <w:numId w:val="3"/>
        </w:numPr>
        <w:ind w:left="360" w:hanging="180"/>
        <w:rPr>
          <w:rFonts w:ascii="Arial" w:hAnsi="Arial" w:cs="Arial"/>
          <w:sz w:val="20"/>
          <w:szCs w:val="20"/>
        </w:rPr>
      </w:pPr>
      <w:r w:rsidRPr="006666FC">
        <w:rPr>
          <w:rFonts w:ascii="Arial" w:hAnsi="Arial" w:cs="Arial"/>
          <w:sz w:val="20"/>
          <w:szCs w:val="20"/>
        </w:rPr>
        <w:t>The average service levels provided by the County over the 10-year period immediately preceding the preparation of the background study;</w:t>
      </w:r>
    </w:p>
    <w:p w14:paraId="323BF164" w14:textId="77777777" w:rsidR="0057320C" w:rsidRPr="006666FC" w:rsidRDefault="0057320C" w:rsidP="002D5EE0">
      <w:pPr>
        <w:pStyle w:val="ListParagraph"/>
        <w:numPr>
          <w:ilvl w:val="0"/>
          <w:numId w:val="3"/>
        </w:numPr>
        <w:ind w:left="360" w:hanging="180"/>
        <w:rPr>
          <w:rFonts w:ascii="Arial" w:hAnsi="Arial" w:cs="Arial"/>
          <w:sz w:val="20"/>
          <w:szCs w:val="20"/>
        </w:rPr>
      </w:pPr>
      <w:r w:rsidRPr="006666FC">
        <w:rPr>
          <w:rFonts w:ascii="Arial" w:hAnsi="Arial" w:cs="Arial"/>
          <w:sz w:val="20"/>
          <w:szCs w:val="20"/>
        </w:rPr>
        <w:t>Capital cost calculations for each eligible development charge service;</w:t>
      </w:r>
    </w:p>
    <w:p w14:paraId="40A8686A" w14:textId="77777777" w:rsidR="0057320C" w:rsidRPr="006666FC" w:rsidRDefault="0057320C" w:rsidP="002D5EE0">
      <w:pPr>
        <w:pStyle w:val="ListParagraph"/>
        <w:numPr>
          <w:ilvl w:val="0"/>
          <w:numId w:val="3"/>
        </w:numPr>
        <w:spacing w:after="360"/>
        <w:ind w:left="360" w:hanging="180"/>
        <w:rPr>
          <w:rFonts w:ascii="Arial" w:hAnsi="Arial" w:cs="Arial"/>
          <w:sz w:val="20"/>
          <w:szCs w:val="20"/>
        </w:rPr>
      </w:pPr>
      <w:r w:rsidRPr="006666FC">
        <w:rPr>
          <w:rFonts w:ascii="Arial" w:hAnsi="Arial" w:cs="Arial"/>
          <w:sz w:val="20"/>
          <w:szCs w:val="20"/>
        </w:rPr>
        <w:t>An examination of the long term capital and operating costs for the infrastructure required to ser</w:t>
      </w:r>
      <w:r w:rsidR="001B71B4" w:rsidRPr="006666FC">
        <w:rPr>
          <w:rFonts w:ascii="Arial" w:hAnsi="Arial" w:cs="Arial"/>
          <w:sz w:val="20"/>
          <w:szCs w:val="20"/>
        </w:rPr>
        <w:t xml:space="preserve">vice the forecasted development; </w:t>
      </w:r>
    </w:p>
    <w:p w14:paraId="17BA713E" w14:textId="77777777" w:rsidR="001B71B4" w:rsidRPr="006666FC" w:rsidRDefault="001B71B4" w:rsidP="00A960AA">
      <w:pPr>
        <w:pStyle w:val="ListParagraph"/>
        <w:numPr>
          <w:ilvl w:val="0"/>
          <w:numId w:val="3"/>
        </w:numPr>
        <w:spacing w:before="480" w:after="0"/>
        <w:ind w:left="360" w:hanging="180"/>
        <w:rPr>
          <w:rFonts w:ascii="Arial" w:hAnsi="Arial" w:cs="Arial"/>
          <w:sz w:val="20"/>
          <w:szCs w:val="20"/>
        </w:rPr>
      </w:pPr>
      <w:r w:rsidRPr="006666FC">
        <w:rPr>
          <w:rFonts w:ascii="Arial" w:hAnsi="Arial" w:cs="Arial"/>
          <w:sz w:val="20"/>
          <w:szCs w:val="20"/>
        </w:rPr>
        <w:t>An asset management plan to demonstrate that all assets included in the study are financially sustainable over the full life cycle.</w:t>
      </w:r>
    </w:p>
    <w:p w14:paraId="24914080" w14:textId="77777777" w:rsidR="005626DA" w:rsidRDefault="005626DA" w:rsidP="005626DA">
      <w:pPr>
        <w:spacing w:after="0"/>
        <w:ind w:left="180"/>
        <w:rPr>
          <w:rFonts w:ascii="Arial" w:hAnsi="Arial" w:cs="Arial"/>
          <w:sz w:val="20"/>
          <w:szCs w:val="20"/>
        </w:rPr>
      </w:pPr>
    </w:p>
    <w:p w14:paraId="4EB8A998" w14:textId="77777777" w:rsidR="005626DA" w:rsidRDefault="0057320C" w:rsidP="005626DA">
      <w:pPr>
        <w:spacing w:after="0"/>
        <w:ind w:left="180"/>
        <w:rPr>
          <w:rFonts w:ascii="Arial" w:hAnsi="Arial" w:cs="Arial"/>
          <w:sz w:val="20"/>
          <w:szCs w:val="20"/>
        </w:rPr>
      </w:pPr>
      <w:proofErr w:type="spellStart"/>
      <w:r w:rsidRPr="006666FC">
        <w:rPr>
          <w:rFonts w:ascii="Arial" w:hAnsi="Arial" w:cs="Arial"/>
          <w:sz w:val="20"/>
          <w:szCs w:val="20"/>
        </w:rPr>
        <w:t>Hemson</w:t>
      </w:r>
      <w:proofErr w:type="spellEnd"/>
      <w:r w:rsidRPr="006666FC">
        <w:rPr>
          <w:rFonts w:ascii="Arial" w:hAnsi="Arial" w:cs="Arial"/>
          <w:sz w:val="20"/>
          <w:szCs w:val="20"/>
        </w:rPr>
        <w:t xml:space="preserve"> Consulting Ltd. prepared the Development Charges Background Study for the County. The</w:t>
      </w:r>
      <w:r w:rsidR="001B71B4" w:rsidRPr="006666FC">
        <w:rPr>
          <w:rFonts w:ascii="Arial" w:hAnsi="Arial" w:cs="Arial"/>
          <w:sz w:val="20"/>
          <w:szCs w:val="20"/>
        </w:rPr>
        <w:t xml:space="preserve"> </w:t>
      </w:r>
      <w:r w:rsidRPr="006666FC">
        <w:rPr>
          <w:rFonts w:ascii="Arial" w:hAnsi="Arial" w:cs="Arial"/>
          <w:sz w:val="20"/>
          <w:szCs w:val="20"/>
        </w:rPr>
        <w:t xml:space="preserve">study, dated </w:t>
      </w:r>
      <w:r w:rsidR="001B71B4" w:rsidRPr="006666FC">
        <w:rPr>
          <w:rFonts w:ascii="Arial" w:hAnsi="Arial" w:cs="Arial"/>
          <w:sz w:val="20"/>
          <w:szCs w:val="20"/>
        </w:rPr>
        <w:t>August 3, 2016 (consolidated November 17, 2016)</w:t>
      </w:r>
      <w:r w:rsidRPr="006666FC">
        <w:rPr>
          <w:rFonts w:ascii="Arial" w:hAnsi="Arial" w:cs="Arial"/>
          <w:sz w:val="20"/>
          <w:szCs w:val="20"/>
        </w:rPr>
        <w:t xml:space="preserve">, served as the basis for the development charge rates approved by the County Council on </w:t>
      </w:r>
      <w:r w:rsidR="001B71B4" w:rsidRPr="006666FC">
        <w:rPr>
          <w:rFonts w:ascii="Arial" w:hAnsi="Arial" w:cs="Arial"/>
          <w:sz w:val="20"/>
          <w:szCs w:val="20"/>
        </w:rPr>
        <w:t>October 4</w:t>
      </w:r>
      <w:r w:rsidRPr="006666FC">
        <w:rPr>
          <w:rFonts w:ascii="Arial" w:hAnsi="Arial" w:cs="Arial"/>
          <w:sz w:val="20"/>
          <w:szCs w:val="20"/>
        </w:rPr>
        <w:t>, 201</w:t>
      </w:r>
      <w:r w:rsidR="001B71B4" w:rsidRPr="006666FC">
        <w:rPr>
          <w:rFonts w:ascii="Arial" w:hAnsi="Arial" w:cs="Arial"/>
          <w:sz w:val="20"/>
          <w:szCs w:val="20"/>
        </w:rPr>
        <w:t>6</w:t>
      </w:r>
      <w:r w:rsidRPr="006666FC">
        <w:rPr>
          <w:rFonts w:ascii="Arial" w:hAnsi="Arial" w:cs="Arial"/>
          <w:sz w:val="20"/>
          <w:szCs w:val="20"/>
        </w:rPr>
        <w:t xml:space="preserve"> through By-laws No. </w:t>
      </w:r>
      <w:r w:rsidR="001B71B4" w:rsidRPr="006666FC">
        <w:rPr>
          <w:rFonts w:ascii="Arial" w:hAnsi="Arial" w:cs="Arial"/>
          <w:sz w:val="20"/>
          <w:szCs w:val="20"/>
        </w:rPr>
        <w:t>4949-16</w:t>
      </w:r>
      <w:r w:rsidRPr="006666FC">
        <w:rPr>
          <w:rFonts w:ascii="Arial" w:hAnsi="Arial" w:cs="Arial"/>
          <w:sz w:val="20"/>
          <w:szCs w:val="20"/>
        </w:rPr>
        <w:t xml:space="preserve"> and No. </w:t>
      </w:r>
    </w:p>
    <w:p w14:paraId="4C14B08E" w14:textId="77777777" w:rsidR="00272067" w:rsidRDefault="00272067" w:rsidP="001B71B4">
      <w:pPr>
        <w:spacing w:before="480" w:after="0"/>
        <w:ind w:left="180"/>
        <w:rPr>
          <w:rFonts w:ascii="Arial" w:hAnsi="Arial" w:cs="Arial"/>
          <w:sz w:val="20"/>
          <w:szCs w:val="20"/>
        </w:rPr>
      </w:pPr>
    </w:p>
    <w:p w14:paraId="220AD791" w14:textId="77777777" w:rsidR="00272067" w:rsidRDefault="00272067" w:rsidP="001B71B4">
      <w:pPr>
        <w:spacing w:before="480" w:after="0"/>
        <w:ind w:left="180"/>
        <w:rPr>
          <w:rFonts w:ascii="Arial" w:hAnsi="Arial" w:cs="Arial"/>
          <w:sz w:val="20"/>
          <w:szCs w:val="20"/>
        </w:rPr>
      </w:pPr>
    </w:p>
    <w:p w14:paraId="66971CFB" w14:textId="1C2F6AE6" w:rsidR="0057320C" w:rsidRPr="006666FC" w:rsidRDefault="001B71B4" w:rsidP="00272067">
      <w:pPr>
        <w:spacing w:after="0"/>
        <w:ind w:left="180"/>
        <w:rPr>
          <w:rFonts w:ascii="Arial" w:hAnsi="Arial" w:cs="Arial"/>
          <w:sz w:val="20"/>
          <w:szCs w:val="20"/>
        </w:rPr>
      </w:pPr>
      <w:r w:rsidRPr="006666FC">
        <w:rPr>
          <w:rFonts w:ascii="Arial" w:hAnsi="Arial" w:cs="Arial"/>
          <w:sz w:val="20"/>
          <w:szCs w:val="20"/>
        </w:rPr>
        <w:t>4950-16</w:t>
      </w:r>
      <w:r w:rsidR="00F06DC5">
        <w:rPr>
          <w:rFonts w:ascii="Arial" w:hAnsi="Arial" w:cs="Arial"/>
          <w:sz w:val="20"/>
          <w:szCs w:val="20"/>
        </w:rPr>
        <w:t>. The</w:t>
      </w:r>
      <w:r w:rsidR="0057320C" w:rsidRPr="006666FC">
        <w:rPr>
          <w:rFonts w:ascii="Arial" w:hAnsi="Arial" w:cs="Arial"/>
          <w:sz w:val="20"/>
          <w:szCs w:val="20"/>
        </w:rPr>
        <w:t xml:space="preserve"> by-laws c</w:t>
      </w:r>
      <w:r w:rsidR="00206349">
        <w:rPr>
          <w:rFonts w:ascii="Arial" w:hAnsi="Arial" w:cs="Arial"/>
          <w:sz w:val="20"/>
          <w:szCs w:val="20"/>
        </w:rPr>
        <w:t>a</w:t>
      </w:r>
      <w:r w:rsidR="0057320C" w:rsidRPr="006666FC">
        <w:rPr>
          <w:rFonts w:ascii="Arial" w:hAnsi="Arial" w:cs="Arial"/>
          <w:sz w:val="20"/>
          <w:szCs w:val="20"/>
        </w:rPr>
        <w:t xml:space="preserve">me into effect on </w:t>
      </w:r>
      <w:r w:rsidRPr="006666FC">
        <w:rPr>
          <w:rFonts w:ascii="Arial" w:hAnsi="Arial" w:cs="Arial"/>
          <w:sz w:val="20"/>
          <w:szCs w:val="20"/>
        </w:rPr>
        <w:t>January 1, 2017</w:t>
      </w:r>
      <w:r w:rsidR="0057320C" w:rsidRPr="006666FC">
        <w:rPr>
          <w:rFonts w:ascii="Arial" w:hAnsi="Arial" w:cs="Arial"/>
          <w:sz w:val="20"/>
          <w:szCs w:val="20"/>
        </w:rPr>
        <w:t xml:space="preserve">. </w:t>
      </w:r>
    </w:p>
    <w:p w14:paraId="4E3FB1A2" w14:textId="77777777" w:rsidR="001B71B4" w:rsidRPr="006666FC" w:rsidRDefault="001B71B4" w:rsidP="0057320C">
      <w:pPr>
        <w:pStyle w:val="Heading1"/>
        <w:spacing w:before="0"/>
        <w:rPr>
          <w:rFonts w:ascii="Arial" w:hAnsi="Arial" w:cs="Arial"/>
          <w:sz w:val="20"/>
          <w:szCs w:val="20"/>
        </w:rPr>
      </w:pPr>
    </w:p>
    <w:p w14:paraId="7C8E75A1" w14:textId="77777777" w:rsidR="0057320C" w:rsidRPr="006666FC" w:rsidRDefault="0057320C" w:rsidP="0057320C">
      <w:pPr>
        <w:pStyle w:val="Heading1"/>
        <w:spacing w:before="0"/>
        <w:rPr>
          <w:rFonts w:ascii="Arial" w:eastAsia="Times New Roman" w:hAnsi="Arial" w:cs="Arial"/>
          <w:i/>
          <w:color w:val="943634" w:themeColor="accent2" w:themeShade="BF"/>
        </w:rPr>
      </w:pPr>
      <w:r w:rsidRPr="006666FC">
        <w:rPr>
          <w:rFonts w:ascii="Arial" w:eastAsia="Times New Roman" w:hAnsi="Arial" w:cs="Arial"/>
          <w:color w:val="943634" w:themeColor="accent2" w:themeShade="BF"/>
          <w:sz w:val="28"/>
          <w:szCs w:val="28"/>
        </w:rPr>
        <w:t>Term of By-laws</w:t>
      </w:r>
    </w:p>
    <w:p w14:paraId="0043A345" w14:textId="77777777" w:rsidR="0057320C" w:rsidRPr="006666FC" w:rsidRDefault="0057320C" w:rsidP="002D5EE0">
      <w:pPr>
        <w:spacing w:after="360" w:line="240" w:lineRule="auto"/>
        <w:rPr>
          <w:rFonts w:ascii="Arial" w:hAnsi="Arial" w:cs="Arial"/>
          <w:sz w:val="20"/>
          <w:szCs w:val="20"/>
        </w:rPr>
      </w:pPr>
      <w:r w:rsidRPr="006666FC">
        <w:rPr>
          <w:rFonts w:ascii="Arial" w:hAnsi="Arial" w:cs="Arial"/>
          <w:sz w:val="20"/>
          <w:szCs w:val="20"/>
        </w:rPr>
        <w:t xml:space="preserve">By-laws No. </w:t>
      </w:r>
      <w:r w:rsidR="001B71B4" w:rsidRPr="006666FC">
        <w:rPr>
          <w:rFonts w:ascii="Arial" w:hAnsi="Arial" w:cs="Arial"/>
          <w:sz w:val="20"/>
          <w:szCs w:val="20"/>
        </w:rPr>
        <w:t>4949-16</w:t>
      </w:r>
      <w:r w:rsidRPr="006666FC">
        <w:rPr>
          <w:rFonts w:ascii="Arial" w:hAnsi="Arial" w:cs="Arial"/>
          <w:sz w:val="20"/>
          <w:szCs w:val="20"/>
        </w:rPr>
        <w:t xml:space="preserve"> and No. </w:t>
      </w:r>
      <w:r w:rsidR="001B71B4" w:rsidRPr="006666FC">
        <w:rPr>
          <w:rFonts w:ascii="Arial" w:hAnsi="Arial" w:cs="Arial"/>
          <w:sz w:val="20"/>
          <w:szCs w:val="20"/>
        </w:rPr>
        <w:t>4950-16</w:t>
      </w:r>
      <w:r w:rsidRPr="006666FC">
        <w:rPr>
          <w:rFonts w:ascii="Arial" w:hAnsi="Arial" w:cs="Arial"/>
          <w:sz w:val="20"/>
          <w:szCs w:val="20"/>
        </w:rPr>
        <w:t xml:space="preserve"> will rema</w:t>
      </w:r>
      <w:r w:rsidR="001B71B4" w:rsidRPr="006666FC">
        <w:rPr>
          <w:rFonts w:ascii="Arial" w:hAnsi="Arial" w:cs="Arial"/>
          <w:sz w:val="20"/>
          <w:szCs w:val="20"/>
        </w:rPr>
        <w:t>in in force until January 1, 2022</w:t>
      </w:r>
      <w:r w:rsidRPr="006666FC">
        <w:rPr>
          <w:rFonts w:ascii="Arial" w:hAnsi="Arial" w:cs="Arial"/>
          <w:sz w:val="20"/>
          <w:szCs w:val="20"/>
        </w:rPr>
        <w:t>.</w:t>
      </w:r>
    </w:p>
    <w:p w14:paraId="3DDB3242" w14:textId="77777777" w:rsidR="0057320C" w:rsidRPr="006666FC" w:rsidRDefault="0057320C" w:rsidP="0057320C">
      <w:pPr>
        <w:spacing w:after="0" w:line="240" w:lineRule="auto"/>
        <w:rPr>
          <w:rFonts w:ascii="Arial" w:eastAsia="Times New Roman" w:hAnsi="Arial" w:cs="Arial"/>
          <w:sz w:val="10"/>
          <w:szCs w:val="20"/>
        </w:rPr>
      </w:pPr>
    </w:p>
    <w:p w14:paraId="1D23DD8E" w14:textId="77777777" w:rsidR="0057320C" w:rsidRPr="00121675" w:rsidRDefault="0057320C" w:rsidP="00783D51">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Indexing of Development Charges</w:t>
      </w:r>
    </w:p>
    <w:p w14:paraId="03F74EB5" w14:textId="77777777" w:rsidR="0057320C" w:rsidRDefault="0057320C" w:rsidP="00272067">
      <w:pPr>
        <w:spacing w:after="0" w:line="240" w:lineRule="auto"/>
        <w:rPr>
          <w:rFonts w:ascii="Arial" w:hAnsi="Arial" w:cs="Arial"/>
          <w:sz w:val="20"/>
          <w:szCs w:val="20"/>
        </w:rPr>
      </w:pPr>
      <w:r w:rsidRPr="006666FC">
        <w:rPr>
          <w:rFonts w:ascii="Arial" w:hAnsi="Arial" w:cs="Arial"/>
          <w:sz w:val="20"/>
          <w:szCs w:val="20"/>
        </w:rPr>
        <w:t>The development charges will be adjusted annually on January 1st of each year, commencing in 201</w:t>
      </w:r>
      <w:r w:rsidR="001B71B4" w:rsidRPr="006666FC">
        <w:rPr>
          <w:rFonts w:ascii="Arial" w:hAnsi="Arial" w:cs="Arial"/>
          <w:sz w:val="20"/>
          <w:szCs w:val="20"/>
        </w:rPr>
        <w:t>8</w:t>
      </w:r>
      <w:r w:rsidRPr="006666FC">
        <w:rPr>
          <w:rFonts w:ascii="Arial" w:hAnsi="Arial" w:cs="Arial"/>
          <w:sz w:val="20"/>
          <w:szCs w:val="20"/>
        </w:rPr>
        <w:t>, without amendment to the by-laws, in accordance with the most recent annual change in the Statistics Canada Quarterly, “Construction Price Statistics.”</w:t>
      </w:r>
    </w:p>
    <w:p w14:paraId="57516029" w14:textId="77777777" w:rsidR="00272067" w:rsidRDefault="00272067" w:rsidP="00272067">
      <w:pPr>
        <w:spacing w:after="0" w:line="240" w:lineRule="auto"/>
        <w:rPr>
          <w:rFonts w:ascii="Arial" w:hAnsi="Arial" w:cs="Arial"/>
          <w:sz w:val="20"/>
          <w:szCs w:val="20"/>
        </w:rPr>
      </w:pPr>
    </w:p>
    <w:p w14:paraId="67E2E21A" w14:textId="77777777" w:rsidR="00272067" w:rsidRPr="006666FC" w:rsidRDefault="00272067" w:rsidP="00272067">
      <w:pPr>
        <w:spacing w:after="0" w:line="240" w:lineRule="auto"/>
        <w:rPr>
          <w:rFonts w:ascii="Arial" w:hAnsi="Arial" w:cs="Arial"/>
          <w:sz w:val="20"/>
          <w:szCs w:val="20"/>
        </w:rPr>
      </w:pPr>
    </w:p>
    <w:p w14:paraId="4193191F" w14:textId="77777777" w:rsidR="0057320C" w:rsidRPr="00121675" w:rsidRDefault="0057320C" w:rsidP="00272067">
      <w:pPr>
        <w:pStyle w:val="Heading1"/>
        <w:spacing w:before="0"/>
        <w:rPr>
          <w:rFonts w:ascii="Arial" w:eastAsia="Times New Roman" w:hAnsi="Arial" w:cs="Arial"/>
          <w:color w:val="632423" w:themeColor="accent2" w:themeShade="80"/>
        </w:rPr>
      </w:pPr>
      <w:r w:rsidRPr="00121675">
        <w:rPr>
          <w:rFonts w:ascii="Arial" w:eastAsia="Times New Roman" w:hAnsi="Arial" w:cs="Arial"/>
          <w:color w:val="632423" w:themeColor="accent2" w:themeShade="80"/>
          <w:sz w:val="28"/>
          <w:szCs w:val="28"/>
        </w:rPr>
        <w:t>Services Covered</w:t>
      </w:r>
    </w:p>
    <w:p w14:paraId="433789E9" w14:textId="77777777" w:rsidR="0057320C" w:rsidRPr="006666FC" w:rsidRDefault="0057320C" w:rsidP="002D5EE0">
      <w:pPr>
        <w:spacing w:after="360" w:line="240" w:lineRule="auto"/>
        <w:rPr>
          <w:rFonts w:ascii="Arial" w:hAnsi="Arial" w:cs="Arial"/>
          <w:sz w:val="20"/>
          <w:szCs w:val="20"/>
        </w:rPr>
      </w:pPr>
      <w:r w:rsidRPr="006666FC">
        <w:rPr>
          <w:rFonts w:ascii="Arial" w:hAnsi="Arial" w:cs="Arial"/>
          <w:sz w:val="20"/>
          <w:szCs w:val="20"/>
        </w:rPr>
        <w:t>Development charges have been imposed for the following categories of County services in order to pay for the increased capital costs required as a result of increased needs for services arising from development:</w:t>
      </w:r>
    </w:p>
    <w:p w14:paraId="44B28CB5" w14:textId="77777777" w:rsidR="0057320C" w:rsidRPr="006666FC" w:rsidRDefault="0057320C" w:rsidP="002D5EE0">
      <w:pPr>
        <w:pStyle w:val="ListParagraph"/>
        <w:numPr>
          <w:ilvl w:val="0"/>
          <w:numId w:val="4"/>
        </w:numPr>
        <w:ind w:left="360" w:hanging="180"/>
        <w:rPr>
          <w:rFonts w:ascii="Arial" w:hAnsi="Arial" w:cs="Arial"/>
          <w:sz w:val="20"/>
          <w:szCs w:val="20"/>
        </w:rPr>
      </w:pPr>
      <w:r w:rsidRPr="006666FC">
        <w:rPr>
          <w:rFonts w:ascii="Arial" w:hAnsi="Arial" w:cs="Arial"/>
          <w:sz w:val="20"/>
          <w:szCs w:val="20"/>
        </w:rPr>
        <w:t>Land Ambulance</w:t>
      </w:r>
    </w:p>
    <w:p w14:paraId="10CCC629" w14:textId="77777777" w:rsidR="0057320C" w:rsidRPr="006666FC" w:rsidRDefault="0057320C" w:rsidP="002D5EE0">
      <w:pPr>
        <w:pStyle w:val="ListParagraph"/>
        <w:numPr>
          <w:ilvl w:val="0"/>
          <w:numId w:val="4"/>
        </w:numPr>
        <w:ind w:left="360" w:hanging="180"/>
        <w:rPr>
          <w:rFonts w:ascii="Arial" w:hAnsi="Arial" w:cs="Arial"/>
          <w:sz w:val="20"/>
          <w:szCs w:val="20"/>
        </w:rPr>
      </w:pPr>
      <w:r w:rsidRPr="006666FC">
        <w:rPr>
          <w:rFonts w:ascii="Arial" w:hAnsi="Arial" w:cs="Arial"/>
          <w:sz w:val="20"/>
          <w:szCs w:val="20"/>
        </w:rPr>
        <w:t>Provincial Offences</w:t>
      </w:r>
    </w:p>
    <w:p w14:paraId="1ADAD489" w14:textId="77777777" w:rsidR="0057320C" w:rsidRPr="006666FC" w:rsidRDefault="0057320C" w:rsidP="002D5EE0">
      <w:pPr>
        <w:pStyle w:val="ListParagraph"/>
        <w:numPr>
          <w:ilvl w:val="0"/>
          <w:numId w:val="4"/>
        </w:numPr>
        <w:ind w:left="360" w:hanging="180"/>
        <w:rPr>
          <w:rFonts w:ascii="Arial" w:hAnsi="Arial" w:cs="Arial"/>
          <w:sz w:val="20"/>
          <w:szCs w:val="20"/>
        </w:rPr>
      </w:pPr>
      <w:r w:rsidRPr="006666FC">
        <w:rPr>
          <w:rFonts w:ascii="Arial" w:hAnsi="Arial" w:cs="Arial"/>
          <w:sz w:val="20"/>
          <w:szCs w:val="20"/>
        </w:rPr>
        <w:t>General Government</w:t>
      </w:r>
    </w:p>
    <w:p w14:paraId="581843BD" w14:textId="77777777" w:rsidR="0057320C" w:rsidRPr="006666FC" w:rsidRDefault="0057320C" w:rsidP="002D5EE0">
      <w:pPr>
        <w:pStyle w:val="ListParagraph"/>
        <w:numPr>
          <w:ilvl w:val="0"/>
          <w:numId w:val="4"/>
        </w:numPr>
        <w:ind w:left="360" w:hanging="180"/>
        <w:rPr>
          <w:rFonts w:ascii="Arial" w:hAnsi="Arial" w:cs="Arial"/>
          <w:sz w:val="20"/>
          <w:szCs w:val="20"/>
        </w:rPr>
      </w:pPr>
      <w:r w:rsidRPr="006666FC">
        <w:rPr>
          <w:rFonts w:ascii="Arial" w:hAnsi="Arial" w:cs="Arial"/>
          <w:sz w:val="20"/>
          <w:szCs w:val="20"/>
        </w:rPr>
        <w:t>Trails</w:t>
      </w:r>
    </w:p>
    <w:p w14:paraId="35EB9DCD" w14:textId="77777777" w:rsidR="0057320C" w:rsidRPr="006666FC" w:rsidRDefault="0057320C" w:rsidP="002D5EE0">
      <w:pPr>
        <w:pStyle w:val="ListParagraph"/>
        <w:numPr>
          <w:ilvl w:val="0"/>
          <w:numId w:val="4"/>
        </w:numPr>
        <w:ind w:left="360" w:hanging="180"/>
        <w:rPr>
          <w:rFonts w:ascii="Arial" w:hAnsi="Arial" w:cs="Arial"/>
          <w:sz w:val="20"/>
          <w:szCs w:val="20"/>
        </w:rPr>
      </w:pPr>
      <w:r w:rsidRPr="006666FC">
        <w:rPr>
          <w:rFonts w:ascii="Arial" w:hAnsi="Arial" w:cs="Arial"/>
          <w:sz w:val="20"/>
          <w:szCs w:val="20"/>
        </w:rPr>
        <w:t>Health Unit</w:t>
      </w:r>
    </w:p>
    <w:p w14:paraId="2B1189C8" w14:textId="77777777" w:rsidR="0057320C" w:rsidRPr="006666FC" w:rsidRDefault="0057320C" w:rsidP="002D5EE0">
      <w:pPr>
        <w:pStyle w:val="ListParagraph"/>
        <w:numPr>
          <w:ilvl w:val="0"/>
          <w:numId w:val="4"/>
        </w:numPr>
        <w:ind w:left="360" w:hanging="180"/>
        <w:rPr>
          <w:rFonts w:ascii="Arial" w:hAnsi="Arial" w:cs="Arial"/>
          <w:sz w:val="20"/>
          <w:szCs w:val="20"/>
        </w:rPr>
      </w:pPr>
      <w:r w:rsidRPr="006666FC">
        <w:rPr>
          <w:rFonts w:ascii="Arial" w:hAnsi="Arial" w:cs="Arial"/>
          <w:sz w:val="20"/>
          <w:szCs w:val="20"/>
        </w:rPr>
        <w:t>Roads &amp; Related Works</w:t>
      </w:r>
    </w:p>
    <w:p w14:paraId="5ADF7BFF" w14:textId="77777777" w:rsidR="0057320C" w:rsidRPr="006666FC" w:rsidRDefault="0057320C" w:rsidP="00365FDC">
      <w:pPr>
        <w:pStyle w:val="Heading1"/>
        <w:spacing w:before="0"/>
        <w:jc w:val="center"/>
        <w:rPr>
          <w:rFonts w:ascii="Arial" w:eastAsia="Times New Roman" w:hAnsi="Arial" w:cs="Arial"/>
        </w:rPr>
      </w:pPr>
      <w:r w:rsidRPr="006666FC">
        <w:rPr>
          <w:rFonts w:ascii="Arial" w:hAnsi="Arial" w:cs="Arial"/>
          <w:sz w:val="20"/>
          <w:szCs w:val="20"/>
        </w:rPr>
        <w:br w:type="column"/>
      </w:r>
      <w:r w:rsidRPr="006666FC">
        <w:rPr>
          <w:rFonts w:ascii="Arial" w:eastAsia="Times New Roman" w:hAnsi="Arial" w:cs="Arial"/>
          <w:sz w:val="28"/>
          <w:szCs w:val="28"/>
        </w:rPr>
        <w:t>Development Charge Rates</w:t>
      </w:r>
    </w:p>
    <w:tbl>
      <w:tblPr>
        <w:tblStyle w:val="TableGrid"/>
        <w:tblW w:w="4500" w:type="dxa"/>
        <w:tblLook w:val="04A0" w:firstRow="1" w:lastRow="0" w:firstColumn="1" w:lastColumn="0" w:noHBand="0" w:noVBand="1"/>
        <w:tblCaption w:val="Development Charge Rates"/>
        <w:tblDescription w:val="The table identifies the Type of Development and Development Charge Rate for January 1, 2013 to December 31, 2013 for the types of development."/>
      </w:tblPr>
      <w:tblGrid>
        <w:gridCol w:w="2358"/>
        <w:gridCol w:w="2142"/>
      </w:tblGrid>
      <w:tr w:rsidR="0057320C" w:rsidRPr="006666FC" w14:paraId="2CFB8AF7" w14:textId="77777777" w:rsidTr="0060791A">
        <w:trPr>
          <w:trHeight w:val="503"/>
          <w:tblHeader/>
        </w:trPr>
        <w:tc>
          <w:tcPr>
            <w:tcW w:w="2358" w:type="dxa"/>
            <w:shd w:val="clear" w:color="auto" w:fill="D9D9D9" w:themeFill="background1" w:themeFillShade="D9"/>
            <w:vAlign w:val="center"/>
          </w:tcPr>
          <w:p w14:paraId="4AA4C445" w14:textId="77777777" w:rsidR="0057320C" w:rsidRPr="006666FC" w:rsidRDefault="0057320C" w:rsidP="0060791A">
            <w:pPr>
              <w:rPr>
                <w:rFonts w:ascii="Arial" w:hAnsi="Arial" w:cs="Arial"/>
                <w:b/>
                <w:sz w:val="20"/>
                <w:szCs w:val="20"/>
              </w:rPr>
            </w:pPr>
            <w:r w:rsidRPr="006666FC">
              <w:rPr>
                <w:rFonts w:ascii="Arial" w:hAnsi="Arial" w:cs="Arial"/>
                <w:b/>
                <w:sz w:val="20"/>
                <w:szCs w:val="20"/>
              </w:rPr>
              <w:t>Type of Development</w:t>
            </w:r>
          </w:p>
        </w:tc>
        <w:tc>
          <w:tcPr>
            <w:tcW w:w="2142" w:type="dxa"/>
            <w:shd w:val="clear" w:color="auto" w:fill="D9D9D9" w:themeFill="background1" w:themeFillShade="D9"/>
          </w:tcPr>
          <w:p w14:paraId="2E0A74B7" w14:textId="77777777" w:rsidR="0057320C" w:rsidRPr="006666FC" w:rsidRDefault="0057320C" w:rsidP="0060791A">
            <w:pPr>
              <w:jc w:val="center"/>
              <w:rPr>
                <w:rFonts w:ascii="Arial" w:hAnsi="Arial" w:cs="Arial"/>
                <w:b/>
                <w:sz w:val="20"/>
                <w:szCs w:val="20"/>
              </w:rPr>
            </w:pPr>
            <w:r w:rsidRPr="006666FC">
              <w:rPr>
                <w:rFonts w:ascii="Arial" w:hAnsi="Arial" w:cs="Arial"/>
                <w:b/>
                <w:sz w:val="20"/>
                <w:szCs w:val="20"/>
              </w:rPr>
              <w:t>Development</w:t>
            </w:r>
          </w:p>
          <w:p w14:paraId="622C6EAA" w14:textId="77777777" w:rsidR="0057320C" w:rsidRPr="006666FC" w:rsidRDefault="0057320C" w:rsidP="0060791A">
            <w:pPr>
              <w:jc w:val="center"/>
              <w:rPr>
                <w:rFonts w:ascii="Arial" w:hAnsi="Arial" w:cs="Arial"/>
                <w:b/>
                <w:sz w:val="20"/>
                <w:szCs w:val="20"/>
              </w:rPr>
            </w:pPr>
            <w:r w:rsidRPr="006666FC">
              <w:rPr>
                <w:rFonts w:ascii="Arial" w:hAnsi="Arial" w:cs="Arial"/>
                <w:b/>
                <w:sz w:val="20"/>
                <w:szCs w:val="20"/>
              </w:rPr>
              <w:t xml:space="preserve"> Charge Rate </w:t>
            </w:r>
          </w:p>
          <w:p w14:paraId="5D9E55F5" w14:textId="555344C1" w:rsidR="0057320C" w:rsidRPr="006666FC" w:rsidRDefault="00646563" w:rsidP="0060791A">
            <w:pPr>
              <w:jc w:val="center"/>
              <w:rPr>
                <w:rFonts w:ascii="Arial" w:hAnsi="Arial" w:cs="Arial"/>
                <w:b/>
                <w:sz w:val="20"/>
                <w:szCs w:val="20"/>
              </w:rPr>
            </w:pPr>
            <w:r w:rsidRPr="006666FC">
              <w:rPr>
                <w:rFonts w:ascii="Arial" w:hAnsi="Arial" w:cs="Arial"/>
                <w:b/>
                <w:sz w:val="20"/>
                <w:szCs w:val="20"/>
              </w:rPr>
              <w:t>January 1, 20</w:t>
            </w:r>
            <w:r w:rsidR="003D4783">
              <w:rPr>
                <w:rFonts w:ascii="Arial" w:hAnsi="Arial" w:cs="Arial"/>
                <w:b/>
                <w:sz w:val="20"/>
                <w:szCs w:val="20"/>
              </w:rPr>
              <w:t>20</w:t>
            </w:r>
            <w:r w:rsidRPr="006666FC">
              <w:rPr>
                <w:rFonts w:ascii="Arial" w:hAnsi="Arial" w:cs="Arial"/>
                <w:b/>
                <w:sz w:val="20"/>
                <w:szCs w:val="20"/>
              </w:rPr>
              <w:t xml:space="preserve"> to December 31, 20</w:t>
            </w:r>
            <w:r w:rsidR="003D4783">
              <w:rPr>
                <w:rFonts w:ascii="Arial" w:hAnsi="Arial" w:cs="Arial"/>
                <w:b/>
                <w:sz w:val="20"/>
                <w:szCs w:val="20"/>
              </w:rPr>
              <w:t>20</w:t>
            </w:r>
          </w:p>
          <w:p w14:paraId="1E548EEB" w14:textId="77777777" w:rsidR="00646563" w:rsidRPr="006666FC" w:rsidRDefault="00646563" w:rsidP="0060791A">
            <w:pPr>
              <w:jc w:val="center"/>
              <w:rPr>
                <w:rFonts w:ascii="Arial" w:hAnsi="Arial" w:cs="Arial"/>
                <w:b/>
                <w:sz w:val="20"/>
                <w:szCs w:val="20"/>
              </w:rPr>
            </w:pPr>
          </w:p>
        </w:tc>
      </w:tr>
      <w:tr w:rsidR="001B71B4" w:rsidRPr="006666FC" w14:paraId="4FD99336" w14:textId="77777777" w:rsidTr="007B651D">
        <w:trPr>
          <w:trHeight w:val="503"/>
          <w:tblHeader/>
        </w:trPr>
        <w:tc>
          <w:tcPr>
            <w:tcW w:w="4500" w:type="dxa"/>
            <w:gridSpan w:val="2"/>
            <w:shd w:val="clear" w:color="auto" w:fill="D9D9D9" w:themeFill="background1" w:themeFillShade="D9"/>
            <w:vAlign w:val="center"/>
          </w:tcPr>
          <w:p w14:paraId="490EE50B" w14:textId="77777777" w:rsidR="001B71B4" w:rsidRPr="006666FC" w:rsidRDefault="001B71B4" w:rsidP="0060791A">
            <w:pPr>
              <w:jc w:val="center"/>
              <w:rPr>
                <w:rFonts w:ascii="Arial" w:hAnsi="Arial" w:cs="Arial"/>
                <w:b/>
                <w:sz w:val="20"/>
                <w:szCs w:val="20"/>
              </w:rPr>
            </w:pPr>
            <w:r w:rsidRPr="006666FC">
              <w:rPr>
                <w:rFonts w:ascii="Arial" w:hAnsi="Arial" w:cs="Arial"/>
                <w:b/>
                <w:sz w:val="20"/>
                <w:szCs w:val="20"/>
              </w:rPr>
              <w:t>Residential</w:t>
            </w:r>
          </w:p>
          <w:p w14:paraId="5B75C37E" w14:textId="77777777" w:rsidR="00D24297" w:rsidRPr="006666FC" w:rsidRDefault="00D24297" w:rsidP="0060791A">
            <w:pPr>
              <w:jc w:val="center"/>
              <w:rPr>
                <w:rFonts w:ascii="Arial" w:hAnsi="Arial" w:cs="Arial"/>
                <w:b/>
                <w:sz w:val="20"/>
                <w:szCs w:val="20"/>
              </w:rPr>
            </w:pPr>
            <w:r w:rsidRPr="006666FC">
              <w:rPr>
                <w:rFonts w:ascii="Arial" w:hAnsi="Arial" w:cs="Arial"/>
                <w:b/>
                <w:sz w:val="20"/>
                <w:szCs w:val="20"/>
              </w:rPr>
              <w:t>($/unit)</w:t>
            </w:r>
          </w:p>
        </w:tc>
      </w:tr>
      <w:tr w:rsidR="0057320C" w:rsidRPr="006666FC" w14:paraId="2DC1424A" w14:textId="77777777" w:rsidTr="0060791A">
        <w:trPr>
          <w:trHeight w:val="477"/>
          <w:tblHeader/>
        </w:trPr>
        <w:tc>
          <w:tcPr>
            <w:tcW w:w="2358" w:type="dxa"/>
            <w:vAlign w:val="center"/>
          </w:tcPr>
          <w:p w14:paraId="68F161AC" w14:textId="77777777" w:rsidR="0057320C" w:rsidRPr="006666FC" w:rsidRDefault="001B71B4" w:rsidP="001B71B4">
            <w:pPr>
              <w:spacing w:before="20" w:after="20"/>
              <w:rPr>
                <w:rFonts w:ascii="Arial" w:hAnsi="Arial" w:cs="Arial"/>
                <w:sz w:val="20"/>
                <w:szCs w:val="20"/>
              </w:rPr>
            </w:pPr>
            <w:r w:rsidRPr="006666FC">
              <w:rPr>
                <w:rFonts w:ascii="Arial" w:hAnsi="Arial" w:cs="Arial"/>
                <w:sz w:val="20"/>
                <w:szCs w:val="20"/>
              </w:rPr>
              <w:t>Single &amp; Semi-Detached Unit</w:t>
            </w:r>
          </w:p>
        </w:tc>
        <w:tc>
          <w:tcPr>
            <w:tcW w:w="2142" w:type="dxa"/>
            <w:vAlign w:val="center"/>
          </w:tcPr>
          <w:p w14:paraId="0F3CE246" w14:textId="096AFFD7" w:rsidR="0057320C" w:rsidRPr="006666FC" w:rsidRDefault="006666FC" w:rsidP="00E56A8F">
            <w:pPr>
              <w:spacing w:before="20" w:after="20"/>
              <w:jc w:val="center"/>
              <w:rPr>
                <w:rFonts w:ascii="Arial" w:hAnsi="Arial" w:cs="Arial"/>
                <w:b/>
                <w:sz w:val="20"/>
                <w:szCs w:val="20"/>
              </w:rPr>
            </w:pPr>
            <w:r w:rsidRPr="006666FC">
              <w:rPr>
                <w:rFonts w:ascii="Arial" w:hAnsi="Arial" w:cs="Arial"/>
                <w:sz w:val="20"/>
                <w:szCs w:val="20"/>
              </w:rPr>
              <w:t>$</w:t>
            </w:r>
            <w:r w:rsidR="00B3163E">
              <w:rPr>
                <w:rFonts w:ascii="Arial" w:hAnsi="Arial" w:cs="Arial"/>
                <w:sz w:val="20"/>
                <w:szCs w:val="20"/>
              </w:rPr>
              <w:t>7,</w:t>
            </w:r>
            <w:r w:rsidR="003D4783">
              <w:rPr>
                <w:rFonts w:ascii="Arial" w:hAnsi="Arial" w:cs="Arial"/>
                <w:sz w:val="20"/>
                <w:szCs w:val="20"/>
              </w:rPr>
              <w:t>355</w:t>
            </w:r>
          </w:p>
        </w:tc>
      </w:tr>
      <w:tr w:rsidR="0057320C" w:rsidRPr="006666FC" w14:paraId="5F68EAD0" w14:textId="77777777" w:rsidTr="0060791A">
        <w:trPr>
          <w:trHeight w:val="477"/>
          <w:tblHeader/>
        </w:trPr>
        <w:tc>
          <w:tcPr>
            <w:tcW w:w="2358" w:type="dxa"/>
            <w:vAlign w:val="center"/>
          </w:tcPr>
          <w:p w14:paraId="6A18E6D3" w14:textId="77777777" w:rsidR="0057320C" w:rsidRPr="006666FC" w:rsidRDefault="00D24297" w:rsidP="0060791A">
            <w:pPr>
              <w:spacing w:before="20" w:after="20"/>
              <w:rPr>
                <w:rFonts w:ascii="Arial" w:hAnsi="Arial" w:cs="Arial"/>
                <w:sz w:val="20"/>
                <w:szCs w:val="20"/>
              </w:rPr>
            </w:pPr>
            <w:r w:rsidRPr="006666FC">
              <w:rPr>
                <w:rFonts w:ascii="Arial" w:hAnsi="Arial" w:cs="Arial"/>
                <w:sz w:val="20"/>
                <w:szCs w:val="20"/>
              </w:rPr>
              <w:t>Rows &amp; Other Multiples</w:t>
            </w:r>
          </w:p>
        </w:tc>
        <w:tc>
          <w:tcPr>
            <w:tcW w:w="2142" w:type="dxa"/>
            <w:vAlign w:val="center"/>
          </w:tcPr>
          <w:p w14:paraId="585C139A" w14:textId="5D2580C8" w:rsidR="0057320C" w:rsidRPr="006666FC" w:rsidRDefault="0057320C" w:rsidP="00E56A8F">
            <w:pPr>
              <w:spacing w:before="20" w:after="20"/>
              <w:jc w:val="center"/>
              <w:rPr>
                <w:rFonts w:ascii="Arial" w:hAnsi="Arial" w:cs="Arial"/>
                <w:sz w:val="20"/>
                <w:szCs w:val="20"/>
              </w:rPr>
            </w:pPr>
            <w:r w:rsidRPr="006666FC">
              <w:rPr>
                <w:rFonts w:ascii="Arial" w:hAnsi="Arial" w:cs="Arial"/>
                <w:sz w:val="20"/>
                <w:szCs w:val="20"/>
              </w:rPr>
              <w:t>$</w:t>
            </w:r>
            <w:r w:rsidR="003D4783">
              <w:rPr>
                <w:rFonts w:ascii="Arial" w:hAnsi="Arial" w:cs="Arial"/>
                <w:sz w:val="20"/>
                <w:szCs w:val="20"/>
              </w:rPr>
              <w:t>5</w:t>
            </w:r>
            <w:r w:rsidR="00B3163E">
              <w:rPr>
                <w:rFonts w:ascii="Arial" w:hAnsi="Arial" w:cs="Arial"/>
                <w:sz w:val="20"/>
                <w:szCs w:val="20"/>
              </w:rPr>
              <w:t>,</w:t>
            </w:r>
            <w:r w:rsidR="003D4783">
              <w:rPr>
                <w:rFonts w:ascii="Arial" w:hAnsi="Arial" w:cs="Arial"/>
                <w:sz w:val="20"/>
                <w:szCs w:val="20"/>
              </w:rPr>
              <w:t>121</w:t>
            </w:r>
          </w:p>
        </w:tc>
      </w:tr>
      <w:tr w:rsidR="0057320C" w:rsidRPr="006666FC" w14:paraId="30C58724" w14:textId="77777777" w:rsidTr="0060791A">
        <w:trPr>
          <w:trHeight w:val="477"/>
          <w:tblHeader/>
        </w:trPr>
        <w:tc>
          <w:tcPr>
            <w:tcW w:w="2358" w:type="dxa"/>
            <w:vAlign w:val="center"/>
          </w:tcPr>
          <w:p w14:paraId="57050EAB" w14:textId="77777777" w:rsidR="0057320C" w:rsidRPr="006666FC" w:rsidRDefault="00D24297" w:rsidP="0060791A">
            <w:pPr>
              <w:spacing w:before="20" w:after="20"/>
              <w:rPr>
                <w:rFonts w:ascii="Arial" w:hAnsi="Arial" w:cs="Arial"/>
                <w:sz w:val="20"/>
                <w:szCs w:val="20"/>
              </w:rPr>
            </w:pPr>
            <w:r w:rsidRPr="006666FC">
              <w:rPr>
                <w:rFonts w:ascii="Arial" w:hAnsi="Arial" w:cs="Arial"/>
                <w:sz w:val="20"/>
                <w:szCs w:val="20"/>
              </w:rPr>
              <w:t>Apartments</w:t>
            </w:r>
          </w:p>
        </w:tc>
        <w:tc>
          <w:tcPr>
            <w:tcW w:w="2142" w:type="dxa"/>
            <w:vAlign w:val="center"/>
          </w:tcPr>
          <w:p w14:paraId="78109F8B" w14:textId="7C899A79" w:rsidR="0057320C" w:rsidRPr="006666FC" w:rsidRDefault="00D24297" w:rsidP="00E56A8F">
            <w:pPr>
              <w:spacing w:before="20" w:after="20"/>
              <w:jc w:val="center"/>
              <w:rPr>
                <w:rFonts w:ascii="Arial" w:hAnsi="Arial" w:cs="Arial"/>
                <w:sz w:val="20"/>
                <w:szCs w:val="20"/>
              </w:rPr>
            </w:pPr>
            <w:r w:rsidRPr="006666FC">
              <w:rPr>
                <w:rFonts w:ascii="Arial" w:hAnsi="Arial" w:cs="Arial"/>
                <w:sz w:val="20"/>
                <w:szCs w:val="20"/>
              </w:rPr>
              <w:t>$</w:t>
            </w:r>
            <w:r w:rsidR="00B3163E">
              <w:rPr>
                <w:rFonts w:ascii="Arial" w:hAnsi="Arial" w:cs="Arial"/>
                <w:sz w:val="20"/>
                <w:szCs w:val="20"/>
              </w:rPr>
              <w:t>4,</w:t>
            </w:r>
            <w:r w:rsidR="003D4783">
              <w:rPr>
                <w:rFonts w:ascii="Arial" w:hAnsi="Arial" w:cs="Arial"/>
                <w:sz w:val="20"/>
                <w:szCs w:val="20"/>
              </w:rPr>
              <w:t>347</w:t>
            </w:r>
          </w:p>
        </w:tc>
      </w:tr>
      <w:tr w:rsidR="008C2AD5" w:rsidRPr="006666FC" w14:paraId="7CBB6594" w14:textId="77777777" w:rsidTr="008C2AD5">
        <w:trPr>
          <w:trHeight w:val="477"/>
          <w:tblHeader/>
        </w:trPr>
        <w:tc>
          <w:tcPr>
            <w:tcW w:w="4500" w:type="dxa"/>
            <w:gridSpan w:val="2"/>
            <w:shd w:val="clear" w:color="auto" w:fill="D9D9D9" w:themeFill="background1" w:themeFillShade="D9"/>
            <w:vAlign w:val="center"/>
          </w:tcPr>
          <w:p w14:paraId="24DE3C48" w14:textId="77777777" w:rsidR="008C2AD5" w:rsidRPr="006666FC" w:rsidRDefault="008C2AD5" w:rsidP="008C2AD5">
            <w:pPr>
              <w:jc w:val="center"/>
              <w:rPr>
                <w:rFonts w:ascii="Arial" w:hAnsi="Arial" w:cs="Arial"/>
                <w:b/>
                <w:sz w:val="20"/>
                <w:szCs w:val="20"/>
              </w:rPr>
            </w:pPr>
            <w:r w:rsidRPr="006666FC">
              <w:rPr>
                <w:rFonts w:ascii="Arial" w:hAnsi="Arial" w:cs="Arial"/>
                <w:b/>
                <w:sz w:val="20"/>
                <w:szCs w:val="20"/>
              </w:rPr>
              <w:t>Non-Residential</w:t>
            </w:r>
          </w:p>
        </w:tc>
      </w:tr>
      <w:tr w:rsidR="0057320C" w:rsidRPr="006666FC" w14:paraId="1BBBD07C" w14:textId="77777777" w:rsidTr="0060791A">
        <w:trPr>
          <w:trHeight w:val="477"/>
          <w:tblHeader/>
        </w:trPr>
        <w:tc>
          <w:tcPr>
            <w:tcW w:w="2358" w:type="dxa"/>
            <w:vAlign w:val="center"/>
          </w:tcPr>
          <w:p w14:paraId="3C34CD49"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 xml:space="preserve">Wind Turbine </w:t>
            </w:r>
          </w:p>
          <w:p w14:paraId="50B4405C"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Charge Per Turbine</w:t>
            </w:r>
          </w:p>
        </w:tc>
        <w:tc>
          <w:tcPr>
            <w:tcW w:w="2142" w:type="dxa"/>
            <w:vAlign w:val="center"/>
          </w:tcPr>
          <w:p w14:paraId="2E15F745" w14:textId="1CA18FE5" w:rsidR="0057320C" w:rsidRPr="006666FC" w:rsidRDefault="0057320C" w:rsidP="00E56A8F">
            <w:pPr>
              <w:spacing w:before="20" w:after="20"/>
              <w:jc w:val="center"/>
              <w:rPr>
                <w:rFonts w:ascii="Arial" w:hAnsi="Arial" w:cs="Arial"/>
                <w:sz w:val="20"/>
                <w:szCs w:val="20"/>
              </w:rPr>
            </w:pPr>
            <w:r w:rsidRPr="006666FC">
              <w:rPr>
                <w:rFonts w:ascii="Arial" w:hAnsi="Arial" w:cs="Arial"/>
                <w:sz w:val="20"/>
                <w:szCs w:val="20"/>
              </w:rPr>
              <w:t>$</w:t>
            </w:r>
            <w:r w:rsidR="008C2AD5" w:rsidRPr="006666FC">
              <w:rPr>
                <w:rFonts w:ascii="Arial" w:hAnsi="Arial" w:cs="Arial"/>
                <w:sz w:val="20"/>
                <w:szCs w:val="20"/>
              </w:rPr>
              <w:t>2,</w:t>
            </w:r>
            <w:r w:rsidR="003D4783">
              <w:rPr>
                <w:rFonts w:ascii="Arial" w:hAnsi="Arial" w:cs="Arial"/>
                <w:sz w:val="20"/>
                <w:szCs w:val="20"/>
              </w:rPr>
              <w:t>626</w:t>
            </w:r>
          </w:p>
        </w:tc>
      </w:tr>
      <w:tr w:rsidR="0057320C" w:rsidRPr="006666FC" w14:paraId="4A436CEB" w14:textId="77777777" w:rsidTr="0060791A">
        <w:trPr>
          <w:trHeight w:val="477"/>
          <w:tblHeader/>
        </w:trPr>
        <w:tc>
          <w:tcPr>
            <w:tcW w:w="2358" w:type="dxa"/>
            <w:vAlign w:val="center"/>
          </w:tcPr>
          <w:p w14:paraId="0F39E44A" w14:textId="77777777" w:rsidR="0057320C" w:rsidRPr="006666FC" w:rsidRDefault="0057320C" w:rsidP="008C2AD5">
            <w:pPr>
              <w:spacing w:before="20" w:after="20"/>
              <w:rPr>
                <w:rFonts w:ascii="Arial" w:hAnsi="Arial" w:cs="Arial"/>
                <w:sz w:val="20"/>
                <w:szCs w:val="20"/>
              </w:rPr>
            </w:pPr>
            <w:r w:rsidRPr="006666FC">
              <w:rPr>
                <w:rFonts w:ascii="Arial" w:hAnsi="Arial" w:cs="Arial"/>
                <w:sz w:val="20"/>
                <w:szCs w:val="20"/>
              </w:rPr>
              <w:t xml:space="preserve">Non-Residential </w:t>
            </w:r>
            <w:r w:rsidR="008C2AD5" w:rsidRPr="006666FC">
              <w:rPr>
                <w:rFonts w:ascii="Arial" w:hAnsi="Arial" w:cs="Arial"/>
                <w:sz w:val="20"/>
                <w:szCs w:val="20"/>
              </w:rPr>
              <w:t>Development</w:t>
            </w:r>
          </w:p>
        </w:tc>
        <w:tc>
          <w:tcPr>
            <w:tcW w:w="2142" w:type="dxa"/>
            <w:vAlign w:val="center"/>
          </w:tcPr>
          <w:p w14:paraId="3AF7AA0C" w14:textId="77777777" w:rsidR="0057320C" w:rsidRPr="006666FC" w:rsidRDefault="0057320C" w:rsidP="0060791A">
            <w:pPr>
              <w:spacing w:before="20" w:after="20"/>
              <w:jc w:val="center"/>
              <w:rPr>
                <w:rFonts w:ascii="Arial" w:hAnsi="Arial" w:cs="Arial"/>
                <w:sz w:val="20"/>
                <w:szCs w:val="20"/>
              </w:rPr>
            </w:pPr>
            <w:r w:rsidRPr="006666FC">
              <w:rPr>
                <w:rFonts w:ascii="Arial" w:hAnsi="Arial" w:cs="Arial"/>
                <w:sz w:val="20"/>
                <w:szCs w:val="20"/>
              </w:rPr>
              <w:t>No Charge</w:t>
            </w:r>
          </w:p>
        </w:tc>
      </w:tr>
    </w:tbl>
    <w:p w14:paraId="17B6560E" w14:textId="77777777" w:rsidR="0057320C" w:rsidRPr="006666FC" w:rsidRDefault="0057320C" w:rsidP="0057320C">
      <w:pPr>
        <w:spacing w:after="0" w:line="240" w:lineRule="auto"/>
        <w:jc w:val="both"/>
        <w:rPr>
          <w:rFonts w:ascii="Arial" w:eastAsia="Times New Roman" w:hAnsi="Arial" w:cs="Arial"/>
          <w:b/>
          <w:i/>
          <w:sz w:val="8"/>
          <w:szCs w:val="8"/>
        </w:rPr>
      </w:pPr>
    </w:p>
    <w:p w14:paraId="49101307" w14:textId="77777777" w:rsidR="0057320C" w:rsidRPr="006666FC" w:rsidRDefault="0057320C" w:rsidP="002D5EE0">
      <w:pPr>
        <w:spacing w:after="0" w:line="240" w:lineRule="auto"/>
        <w:ind w:firstLine="720"/>
        <w:jc w:val="both"/>
        <w:rPr>
          <w:rFonts w:ascii="Arial" w:eastAsia="Times New Roman" w:hAnsi="Arial" w:cs="Arial"/>
          <w:sz w:val="10"/>
          <w:szCs w:val="8"/>
        </w:rPr>
      </w:pPr>
    </w:p>
    <w:p w14:paraId="351D5754" w14:textId="77777777" w:rsidR="0057320C" w:rsidRPr="006666FC" w:rsidRDefault="0057320C" w:rsidP="002D5EE0">
      <w:pPr>
        <w:spacing w:after="0" w:line="240" w:lineRule="auto"/>
        <w:rPr>
          <w:rFonts w:ascii="Arial" w:eastAsia="Times New Roman" w:hAnsi="Arial" w:cs="Arial"/>
          <w:sz w:val="20"/>
          <w:szCs w:val="20"/>
        </w:rPr>
      </w:pPr>
      <w:r w:rsidRPr="006666FC">
        <w:rPr>
          <w:rFonts w:ascii="Arial" w:eastAsia="Times New Roman" w:hAnsi="Arial" w:cs="Arial"/>
          <w:sz w:val="20"/>
          <w:szCs w:val="20"/>
        </w:rPr>
        <w:t>The amount of each development charge per residential equivalent unit is allocated by County service as follows:</w:t>
      </w:r>
    </w:p>
    <w:p w14:paraId="41ABEEF5" w14:textId="77777777" w:rsidR="0057320C" w:rsidRPr="006666FC" w:rsidRDefault="0057320C" w:rsidP="0057320C">
      <w:pPr>
        <w:spacing w:after="0" w:line="240" w:lineRule="auto"/>
        <w:jc w:val="both"/>
        <w:rPr>
          <w:rFonts w:ascii="Arial" w:eastAsia="Times New Roman" w:hAnsi="Arial" w:cs="Arial"/>
          <w:sz w:val="8"/>
          <w:szCs w:val="8"/>
        </w:rPr>
      </w:pPr>
    </w:p>
    <w:tbl>
      <w:tblPr>
        <w:tblStyle w:val="TableGrid"/>
        <w:tblW w:w="4516" w:type="dxa"/>
        <w:tblLayout w:type="fixed"/>
        <w:tblLook w:val="04A0" w:firstRow="1" w:lastRow="0" w:firstColumn="1" w:lastColumn="0" w:noHBand="0" w:noVBand="1"/>
        <w:tblCaption w:val=" Allocation of Development Charge per Residential Equivalent Unit by County Servicee"/>
        <w:tblDescription w:val="The chart identifies the Designated County Services and the percentage of designated to each of the residential developmetn charge."/>
      </w:tblPr>
      <w:tblGrid>
        <w:gridCol w:w="2898"/>
        <w:gridCol w:w="1618"/>
      </w:tblGrid>
      <w:tr w:rsidR="0057320C" w:rsidRPr="006666FC" w14:paraId="456ECF87" w14:textId="77777777" w:rsidTr="008C2AD5">
        <w:trPr>
          <w:trHeight w:val="323"/>
          <w:tblHeader/>
        </w:trPr>
        <w:tc>
          <w:tcPr>
            <w:tcW w:w="2898" w:type="dxa"/>
            <w:shd w:val="clear" w:color="auto" w:fill="D9D9D9" w:themeFill="background1" w:themeFillShade="D9"/>
            <w:vAlign w:val="center"/>
          </w:tcPr>
          <w:p w14:paraId="7BFB04BE" w14:textId="77777777" w:rsidR="0057320C" w:rsidRPr="006666FC" w:rsidRDefault="0057320C" w:rsidP="0060791A">
            <w:pPr>
              <w:rPr>
                <w:rFonts w:ascii="Arial" w:hAnsi="Arial" w:cs="Arial"/>
                <w:b/>
                <w:sz w:val="20"/>
                <w:szCs w:val="20"/>
              </w:rPr>
            </w:pPr>
            <w:r w:rsidRPr="006666FC">
              <w:rPr>
                <w:rFonts w:ascii="Arial" w:hAnsi="Arial" w:cs="Arial"/>
                <w:b/>
                <w:sz w:val="20"/>
                <w:szCs w:val="20"/>
              </w:rPr>
              <w:t>Designated Service</w:t>
            </w:r>
          </w:p>
        </w:tc>
        <w:tc>
          <w:tcPr>
            <w:tcW w:w="1618" w:type="dxa"/>
            <w:shd w:val="clear" w:color="auto" w:fill="D9D9D9" w:themeFill="background1" w:themeFillShade="D9"/>
            <w:vAlign w:val="center"/>
          </w:tcPr>
          <w:p w14:paraId="67F1E1C2" w14:textId="77777777" w:rsidR="0057320C" w:rsidRPr="006666FC" w:rsidRDefault="0057320C" w:rsidP="0060791A">
            <w:pPr>
              <w:rPr>
                <w:rFonts w:ascii="Arial" w:hAnsi="Arial" w:cs="Arial"/>
                <w:b/>
                <w:sz w:val="20"/>
                <w:szCs w:val="20"/>
              </w:rPr>
            </w:pPr>
            <w:r w:rsidRPr="006666FC">
              <w:rPr>
                <w:rFonts w:ascii="Arial" w:hAnsi="Arial" w:cs="Arial"/>
                <w:b/>
                <w:sz w:val="20"/>
                <w:szCs w:val="20"/>
              </w:rPr>
              <w:t>% of Charge</w:t>
            </w:r>
          </w:p>
        </w:tc>
      </w:tr>
      <w:tr w:rsidR="0057320C" w:rsidRPr="006666FC" w14:paraId="11689999" w14:textId="77777777" w:rsidTr="008C2AD5">
        <w:trPr>
          <w:tblHeader/>
        </w:trPr>
        <w:tc>
          <w:tcPr>
            <w:tcW w:w="2898" w:type="dxa"/>
            <w:vAlign w:val="center"/>
          </w:tcPr>
          <w:p w14:paraId="471C5824"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Land  Ambulance</w:t>
            </w:r>
          </w:p>
        </w:tc>
        <w:tc>
          <w:tcPr>
            <w:tcW w:w="1618" w:type="dxa"/>
            <w:vAlign w:val="center"/>
          </w:tcPr>
          <w:p w14:paraId="256E3EB6" w14:textId="1ED78A53" w:rsidR="0057320C" w:rsidRPr="006666FC" w:rsidRDefault="008C2AD5" w:rsidP="0060791A">
            <w:pPr>
              <w:spacing w:before="20" w:after="20"/>
              <w:jc w:val="center"/>
              <w:rPr>
                <w:rFonts w:ascii="Arial" w:hAnsi="Arial" w:cs="Arial"/>
                <w:sz w:val="20"/>
                <w:szCs w:val="20"/>
              </w:rPr>
            </w:pPr>
            <w:r w:rsidRPr="006666FC">
              <w:rPr>
                <w:rFonts w:ascii="Arial" w:hAnsi="Arial" w:cs="Arial"/>
                <w:sz w:val="20"/>
                <w:szCs w:val="20"/>
              </w:rPr>
              <w:t>2.</w:t>
            </w:r>
            <w:r w:rsidR="00B44D21">
              <w:rPr>
                <w:rFonts w:ascii="Arial" w:hAnsi="Arial" w:cs="Arial"/>
                <w:sz w:val="20"/>
                <w:szCs w:val="20"/>
              </w:rPr>
              <w:t>1</w:t>
            </w:r>
            <w:r w:rsidRPr="006666FC">
              <w:rPr>
                <w:rFonts w:ascii="Arial" w:hAnsi="Arial" w:cs="Arial"/>
                <w:sz w:val="20"/>
                <w:szCs w:val="20"/>
              </w:rPr>
              <w:t>6</w:t>
            </w:r>
            <w:r w:rsidR="0057320C" w:rsidRPr="006666FC">
              <w:rPr>
                <w:rFonts w:ascii="Arial" w:hAnsi="Arial" w:cs="Arial"/>
                <w:sz w:val="20"/>
                <w:szCs w:val="20"/>
              </w:rPr>
              <w:t>%</w:t>
            </w:r>
          </w:p>
        </w:tc>
      </w:tr>
      <w:tr w:rsidR="0057320C" w:rsidRPr="006666FC" w14:paraId="139F2FEF" w14:textId="77777777" w:rsidTr="008C2AD5">
        <w:trPr>
          <w:tblHeader/>
        </w:trPr>
        <w:tc>
          <w:tcPr>
            <w:tcW w:w="2898" w:type="dxa"/>
            <w:vAlign w:val="center"/>
          </w:tcPr>
          <w:p w14:paraId="74D92F03"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Provincial Offences</w:t>
            </w:r>
          </w:p>
        </w:tc>
        <w:tc>
          <w:tcPr>
            <w:tcW w:w="1618" w:type="dxa"/>
            <w:vAlign w:val="center"/>
          </w:tcPr>
          <w:p w14:paraId="4AED7B47" w14:textId="55E79876" w:rsidR="0057320C" w:rsidRPr="006666FC" w:rsidRDefault="0057320C" w:rsidP="008C2AD5">
            <w:pPr>
              <w:spacing w:before="20" w:after="20"/>
              <w:jc w:val="center"/>
              <w:rPr>
                <w:rFonts w:ascii="Arial" w:hAnsi="Arial" w:cs="Arial"/>
                <w:sz w:val="20"/>
                <w:szCs w:val="20"/>
              </w:rPr>
            </w:pPr>
            <w:r w:rsidRPr="006666FC">
              <w:rPr>
                <w:rFonts w:ascii="Arial" w:hAnsi="Arial" w:cs="Arial"/>
                <w:sz w:val="20"/>
                <w:szCs w:val="20"/>
              </w:rPr>
              <w:t>0.</w:t>
            </w:r>
            <w:r w:rsidR="00B44D21">
              <w:rPr>
                <w:rFonts w:ascii="Arial" w:hAnsi="Arial" w:cs="Arial"/>
                <w:sz w:val="20"/>
                <w:szCs w:val="20"/>
              </w:rPr>
              <w:t>30</w:t>
            </w:r>
            <w:r w:rsidRPr="006666FC">
              <w:rPr>
                <w:rFonts w:ascii="Arial" w:hAnsi="Arial" w:cs="Arial"/>
                <w:sz w:val="20"/>
                <w:szCs w:val="20"/>
              </w:rPr>
              <w:t>%</w:t>
            </w:r>
          </w:p>
        </w:tc>
      </w:tr>
      <w:tr w:rsidR="0057320C" w:rsidRPr="006666FC" w14:paraId="05CB73B1" w14:textId="77777777" w:rsidTr="008C2AD5">
        <w:trPr>
          <w:tblHeader/>
        </w:trPr>
        <w:tc>
          <w:tcPr>
            <w:tcW w:w="2898" w:type="dxa"/>
            <w:vAlign w:val="center"/>
          </w:tcPr>
          <w:p w14:paraId="5CFE8ED5"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General Government</w:t>
            </w:r>
          </w:p>
        </w:tc>
        <w:tc>
          <w:tcPr>
            <w:tcW w:w="1618" w:type="dxa"/>
            <w:vAlign w:val="center"/>
          </w:tcPr>
          <w:p w14:paraId="2CBA6543" w14:textId="7D08CE84" w:rsidR="0057320C" w:rsidRPr="006666FC" w:rsidRDefault="00B44D21" w:rsidP="0060791A">
            <w:pPr>
              <w:spacing w:before="20" w:after="20"/>
              <w:jc w:val="center"/>
              <w:rPr>
                <w:rFonts w:ascii="Arial" w:hAnsi="Arial" w:cs="Arial"/>
                <w:sz w:val="20"/>
                <w:szCs w:val="20"/>
              </w:rPr>
            </w:pPr>
            <w:r>
              <w:rPr>
                <w:rFonts w:ascii="Arial" w:hAnsi="Arial" w:cs="Arial"/>
                <w:sz w:val="20"/>
                <w:szCs w:val="20"/>
              </w:rPr>
              <w:t>2</w:t>
            </w:r>
            <w:r w:rsidR="008C2AD5" w:rsidRPr="006666FC">
              <w:rPr>
                <w:rFonts w:ascii="Arial" w:hAnsi="Arial" w:cs="Arial"/>
                <w:sz w:val="20"/>
                <w:szCs w:val="20"/>
              </w:rPr>
              <w:t>.</w:t>
            </w:r>
            <w:r>
              <w:rPr>
                <w:rFonts w:ascii="Arial" w:hAnsi="Arial" w:cs="Arial"/>
                <w:sz w:val="20"/>
                <w:szCs w:val="20"/>
              </w:rPr>
              <w:t>47</w:t>
            </w:r>
            <w:r w:rsidR="0057320C" w:rsidRPr="006666FC">
              <w:rPr>
                <w:rFonts w:ascii="Arial" w:hAnsi="Arial" w:cs="Arial"/>
                <w:sz w:val="20"/>
                <w:szCs w:val="20"/>
              </w:rPr>
              <w:t>%</w:t>
            </w:r>
          </w:p>
        </w:tc>
      </w:tr>
      <w:tr w:rsidR="0057320C" w:rsidRPr="006666FC" w14:paraId="5A5D0ADC" w14:textId="77777777" w:rsidTr="008C2AD5">
        <w:trPr>
          <w:tblHeader/>
        </w:trPr>
        <w:tc>
          <w:tcPr>
            <w:tcW w:w="2898" w:type="dxa"/>
            <w:vAlign w:val="center"/>
          </w:tcPr>
          <w:p w14:paraId="6921F130"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Trails</w:t>
            </w:r>
          </w:p>
        </w:tc>
        <w:tc>
          <w:tcPr>
            <w:tcW w:w="1618" w:type="dxa"/>
            <w:vAlign w:val="center"/>
          </w:tcPr>
          <w:p w14:paraId="562EBEDD" w14:textId="30D0C01C" w:rsidR="0057320C" w:rsidRPr="006666FC" w:rsidRDefault="008C2AD5" w:rsidP="0060791A">
            <w:pPr>
              <w:spacing w:before="20" w:after="20"/>
              <w:jc w:val="center"/>
              <w:rPr>
                <w:rFonts w:ascii="Arial" w:hAnsi="Arial" w:cs="Arial"/>
                <w:sz w:val="20"/>
                <w:szCs w:val="20"/>
              </w:rPr>
            </w:pPr>
            <w:r w:rsidRPr="006666FC">
              <w:rPr>
                <w:rFonts w:ascii="Arial" w:hAnsi="Arial" w:cs="Arial"/>
                <w:sz w:val="20"/>
                <w:szCs w:val="20"/>
              </w:rPr>
              <w:t>0.1</w:t>
            </w:r>
            <w:r w:rsidR="00B44D21">
              <w:rPr>
                <w:rFonts w:ascii="Arial" w:hAnsi="Arial" w:cs="Arial"/>
                <w:sz w:val="20"/>
                <w:szCs w:val="20"/>
              </w:rPr>
              <w:t>2</w:t>
            </w:r>
            <w:r w:rsidR="0057320C" w:rsidRPr="006666FC">
              <w:rPr>
                <w:rFonts w:ascii="Arial" w:hAnsi="Arial" w:cs="Arial"/>
                <w:sz w:val="20"/>
                <w:szCs w:val="20"/>
              </w:rPr>
              <w:t>%</w:t>
            </w:r>
          </w:p>
        </w:tc>
      </w:tr>
      <w:tr w:rsidR="0057320C" w:rsidRPr="006666FC" w14:paraId="659474B2" w14:textId="77777777" w:rsidTr="008C2AD5">
        <w:trPr>
          <w:tblHeader/>
        </w:trPr>
        <w:tc>
          <w:tcPr>
            <w:tcW w:w="2898" w:type="dxa"/>
            <w:vAlign w:val="center"/>
          </w:tcPr>
          <w:p w14:paraId="3E768D50"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Health Unit</w:t>
            </w:r>
          </w:p>
        </w:tc>
        <w:tc>
          <w:tcPr>
            <w:tcW w:w="1618" w:type="dxa"/>
            <w:vAlign w:val="center"/>
          </w:tcPr>
          <w:p w14:paraId="65180569" w14:textId="179AE584" w:rsidR="0057320C" w:rsidRPr="006666FC" w:rsidRDefault="008C2AD5" w:rsidP="0060791A">
            <w:pPr>
              <w:spacing w:before="20" w:after="20"/>
              <w:jc w:val="center"/>
              <w:rPr>
                <w:rFonts w:ascii="Arial" w:hAnsi="Arial" w:cs="Arial"/>
                <w:sz w:val="20"/>
                <w:szCs w:val="20"/>
              </w:rPr>
            </w:pPr>
            <w:r w:rsidRPr="006666FC">
              <w:rPr>
                <w:rFonts w:ascii="Arial" w:hAnsi="Arial" w:cs="Arial"/>
                <w:sz w:val="20"/>
                <w:szCs w:val="20"/>
              </w:rPr>
              <w:t>2.</w:t>
            </w:r>
            <w:r w:rsidR="00B44D21">
              <w:rPr>
                <w:rFonts w:ascii="Arial" w:hAnsi="Arial" w:cs="Arial"/>
                <w:sz w:val="20"/>
                <w:szCs w:val="20"/>
              </w:rPr>
              <w:t>12</w:t>
            </w:r>
            <w:r w:rsidR="0057320C" w:rsidRPr="006666FC">
              <w:rPr>
                <w:rFonts w:ascii="Arial" w:hAnsi="Arial" w:cs="Arial"/>
                <w:sz w:val="20"/>
                <w:szCs w:val="20"/>
              </w:rPr>
              <w:t>%</w:t>
            </w:r>
          </w:p>
        </w:tc>
      </w:tr>
      <w:tr w:rsidR="0057320C" w:rsidRPr="006666FC" w14:paraId="4FC973A1" w14:textId="77777777" w:rsidTr="008C2AD5">
        <w:trPr>
          <w:tblHeader/>
        </w:trPr>
        <w:tc>
          <w:tcPr>
            <w:tcW w:w="2898" w:type="dxa"/>
            <w:vAlign w:val="center"/>
          </w:tcPr>
          <w:p w14:paraId="0B4DAB8E"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Roads and Related Works</w:t>
            </w:r>
          </w:p>
        </w:tc>
        <w:tc>
          <w:tcPr>
            <w:tcW w:w="1618" w:type="dxa"/>
            <w:vAlign w:val="center"/>
          </w:tcPr>
          <w:p w14:paraId="3DBB26BA" w14:textId="0E2BE8B0" w:rsidR="0057320C" w:rsidRPr="006666FC" w:rsidRDefault="008C2AD5" w:rsidP="0060791A">
            <w:pPr>
              <w:spacing w:before="20" w:after="20"/>
              <w:jc w:val="center"/>
              <w:rPr>
                <w:rFonts w:ascii="Arial" w:hAnsi="Arial" w:cs="Arial"/>
                <w:sz w:val="20"/>
                <w:szCs w:val="20"/>
              </w:rPr>
            </w:pPr>
            <w:r w:rsidRPr="006666FC">
              <w:rPr>
                <w:rFonts w:ascii="Arial" w:hAnsi="Arial" w:cs="Arial"/>
                <w:sz w:val="20"/>
                <w:szCs w:val="20"/>
              </w:rPr>
              <w:t>9</w:t>
            </w:r>
            <w:r w:rsidR="00B44D21">
              <w:rPr>
                <w:rFonts w:ascii="Arial" w:hAnsi="Arial" w:cs="Arial"/>
                <w:sz w:val="20"/>
                <w:szCs w:val="20"/>
              </w:rPr>
              <w:t>2</w:t>
            </w:r>
            <w:r w:rsidRPr="006666FC">
              <w:rPr>
                <w:rFonts w:ascii="Arial" w:hAnsi="Arial" w:cs="Arial"/>
                <w:sz w:val="20"/>
                <w:szCs w:val="20"/>
              </w:rPr>
              <w:t>.</w:t>
            </w:r>
            <w:r w:rsidR="00B44D21">
              <w:rPr>
                <w:rFonts w:ascii="Arial" w:hAnsi="Arial" w:cs="Arial"/>
                <w:sz w:val="20"/>
                <w:szCs w:val="20"/>
              </w:rPr>
              <w:t>8</w:t>
            </w:r>
            <w:bookmarkStart w:id="0" w:name="_GoBack"/>
            <w:bookmarkEnd w:id="0"/>
            <w:r w:rsidRPr="006666FC">
              <w:rPr>
                <w:rFonts w:ascii="Arial" w:hAnsi="Arial" w:cs="Arial"/>
                <w:sz w:val="20"/>
                <w:szCs w:val="20"/>
              </w:rPr>
              <w:t>3</w:t>
            </w:r>
            <w:r w:rsidR="0057320C" w:rsidRPr="006666FC">
              <w:rPr>
                <w:rFonts w:ascii="Arial" w:hAnsi="Arial" w:cs="Arial"/>
                <w:sz w:val="20"/>
                <w:szCs w:val="20"/>
              </w:rPr>
              <w:t>%</w:t>
            </w:r>
          </w:p>
        </w:tc>
      </w:tr>
      <w:tr w:rsidR="0057320C" w:rsidRPr="006666FC" w14:paraId="77BF3331" w14:textId="77777777" w:rsidTr="008C2AD5">
        <w:trPr>
          <w:tblHeader/>
        </w:trPr>
        <w:tc>
          <w:tcPr>
            <w:tcW w:w="2898" w:type="dxa"/>
            <w:vAlign w:val="center"/>
          </w:tcPr>
          <w:p w14:paraId="7E65BAF4" w14:textId="77777777" w:rsidR="0057320C" w:rsidRPr="006666FC" w:rsidRDefault="0057320C" w:rsidP="0060791A">
            <w:pPr>
              <w:spacing w:before="20" w:after="20"/>
              <w:rPr>
                <w:rFonts w:ascii="Arial" w:hAnsi="Arial" w:cs="Arial"/>
                <w:b/>
                <w:sz w:val="20"/>
                <w:szCs w:val="20"/>
              </w:rPr>
            </w:pPr>
            <w:r w:rsidRPr="006666FC">
              <w:rPr>
                <w:rFonts w:ascii="Arial" w:hAnsi="Arial" w:cs="Arial"/>
                <w:b/>
                <w:sz w:val="20"/>
                <w:szCs w:val="20"/>
              </w:rPr>
              <w:t xml:space="preserve">Total Residential </w:t>
            </w:r>
            <w:r w:rsidRPr="006666FC">
              <w:rPr>
                <w:rFonts w:ascii="Arial" w:hAnsi="Arial" w:cs="Arial"/>
                <w:b/>
                <w:sz w:val="20"/>
                <w:szCs w:val="20"/>
              </w:rPr>
              <w:br/>
              <w:t>Development Charge</w:t>
            </w:r>
          </w:p>
        </w:tc>
        <w:tc>
          <w:tcPr>
            <w:tcW w:w="1618" w:type="dxa"/>
            <w:vAlign w:val="center"/>
          </w:tcPr>
          <w:p w14:paraId="1FC2302F" w14:textId="77777777" w:rsidR="0057320C" w:rsidRPr="006666FC" w:rsidRDefault="0057320C" w:rsidP="0060791A">
            <w:pPr>
              <w:spacing w:before="20" w:after="20"/>
              <w:jc w:val="center"/>
              <w:rPr>
                <w:rFonts w:ascii="Arial" w:hAnsi="Arial" w:cs="Arial"/>
                <w:sz w:val="20"/>
                <w:szCs w:val="20"/>
              </w:rPr>
            </w:pPr>
            <w:r w:rsidRPr="006666FC">
              <w:rPr>
                <w:rFonts w:ascii="Arial" w:hAnsi="Arial" w:cs="Arial"/>
                <w:b/>
                <w:sz w:val="20"/>
                <w:szCs w:val="20"/>
              </w:rPr>
              <w:t>100.00</w:t>
            </w:r>
            <w:r w:rsidRPr="006666FC">
              <w:rPr>
                <w:rFonts w:ascii="Arial" w:hAnsi="Arial" w:cs="Arial"/>
                <w:sz w:val="20"/>
                <w:szCs w:val="20"/>
              </w:rPr>
              <w:t>%</w:t>
            </w:r>
          </w:p>
        </w:tc>
      </w:tr>
    </w:tbl>
    <w:p w14:paraId="7D1BE0DF" w14:textId="77777777" w:rsidR="00FE7170" w:rsidRPr="006666FC" w:rsidRDefault="00FE7170" w:rsidP="0057320C">
      <w:pPr>
        <w:rPr>
          <w:rFonts w:ascii="Arial" w:hAnsi="Arial" w:cs="Arial"/>
        </w:rPr>
      </w:pPr>
    </w:p>
    <w:sectPr w:rsidR="00FE7170" w:rsidRPr="006666FC" w:rsidSect="00FC1DD9">
      <w:footerReference w:type="default" r:id="rId11"/>
      <w:footerReference w:type="first" r:id="rId12"/>
      <w:pgSz w:w="15840" w:h="12240" w:orient="landscape" w:code="1"/>
      <w:pgMar w:top="720" w:right="720" w:bottom="720" w:left="720" w:header="720" w:footer="432" w:gutter="0"/>
      <w:pgNumType w:start="2"/>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8FED" w14:textId="77777777" w:rsidR="00570228" w:rsidRDefault="00570228" w:rsidP="0057320C">
      <w:pPr>
        <w:spacing w:after="0" w:line="240" w:lineRule="auto"/>
      </w:pPr>
      <w:r>
        <w:separator/>
      </w:r>
    </w:p>
  </w:endnote>
  <w:endnote w:type="continuationSeparator" w:id="0">
    <w:p w14:paraId="67CEAC34" w14:textId="77777777" w:rsidR="00570228" w:rsidRDefault="00570228" w:rsidP="0057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78CC" w14:textId="77777777" w:rsidR="00F3377E" w:rsidRPr="00FA084A" w:rsidRDefault="00564832" w:rsidP="00564832">
    <w:pPr>
      <w:pStyle w:val="Footer"/>
      <w:ind w:left="1584"/>
      <w:mirrorIndents/>
      <w:jc w:val="center"/>
      <w:rPr>
        <w:rFonts w:cs="Arial"/>
        <w:sz w:val="18"/>
        <w:szCs w:val="18"/>
      </w:rPr>
    </w:pPr>
    <w:r w:rsidRPr="00FA084A">
      <w:rPr>
        <w:rFonts w:cs="Arial"/>
        <w:sz w:val="18"/>
        <w:szCs w:val="18"/>
      </w:rPr>
      <w:t>2</w:t>
    </w:r>
    <w:r w:rsidRPr="00FA084A">
      <w:rPr>
        <w:rFonts w:cs="Arial"/>
        <w:sz w:val="18"/>
        <w:szCs w:val="18"/>
      </w:rPr>
      <w:ptab w:relativeTo="margin" w:alignment="center" w:leader="none"/>
    </w:r>
    <w:r w:rsidRPr="00FA084A">
      <w:rPr>
        <w:rFonts w:cs="Arial"/>
        <w:sz w:val="18"/>
        <w:szCs w:val="18"/>
      </w:rPr>
      <w:t>3</w:t>
    </w:r>
    <w:r w:rsidRPr="00FA084A">
      <w:rPr>
        <w:rFonts w:cs="Arial"/>
        <w:sz w:val="18"/>
        <w:szCs w:val="18"/>
      </w:rPr>
      <w:tab/>
    </w:r>
    <w:r w:rsidRPr="00FA084A">
      <w:rPr>
        <w:rFonts w:cs="Arial"/>
        <w:sz w:val="18"/>
        <w:szCs w:val="18"/>
      </w:rPr>
      <w:tab/>
    </w:r>
    <w:r w:rsidRPr="00FA084A">
      <w:rPr>
        <w:rFonts w:cs="Arial"/>
        <w:sz w:val="18"/>
        <w:szCs w:val="18"/>
      </w:rPr>
      <w:tab/>
    </w:r>
    <w:r w:rsidRPr="00FA084A">
      <w:rPr>
        <w:rFonts w:cs="Arial"/>
        <w:sz w:val="18"/>
        <w:szCs w:val="18"/>
      </w:rPr>
      <w:tab/>
    </w:r>
    <w:r w:rsidRPr="00FA084A">
      <w:rPr>
        <w:rFonts w:cs="Arial"/>
        <w:sz w:val="18"/>
        <w:szCs w:val="18"/>
      </w:rPr>
      <w:tab/>
      <w:t>4</w:t>
    </w:r>
    <w:r w:rsidRPr="00FA084A">
      <w:rPr>
        <w:rFonts w:cs="Arial"/>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34C6" w14:textId="77777777" w:rsidR="00F3377E" w:rsidRDefault="00FA084A" w:rsidP="009F1277">
    <w:pPr>
      <w:pStyle w:val="Footer"/>
      <w:ind w:left="1584"/>
    </w:pPr>
    <w:r w:rsidRPr="00FA084A">
      <w:rPr>
        <w:sz w:val="16"/>
        <w:szCs w:val="16"/>
      </w:rPr>
      <w:t>5</w:t>
    </w:r>
    <w:r w:rsidRPr="00FA084A">
      <w:rPr>
        <w:sz w:val="16"/>
        <w:szCs w:val="16"/>
      </w:rPr>
      <w:ptab w:relativeTo="margin" w:alignment="center" w:leader="none"/>
    </w:r>
    <w:r w:rsidRPr="00FA084A">
      <w:rPr>
        <w:sz w:val="16"/>
        <w:szCs w:val="16"/>
      </w:rPr>
      <w:t>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87E5" w14:textId="77777777" w:rsidR="00570228" w:rsidRDefault="00570228" w:rsidP="0057320C">
      <w:pPr>
        <w:spacing w:after="0" w:line="240" w:lineRule="auto"/>
      </w:pPr>
      <w:r>
        <w:separator/>
      </w:r>
    </w:p>
  </w:footnote>
  <w:footnote w:type="continuationSeparator" w:id="0">
    <w:p w14:paraId="2683B360" w14:textId="77777777" w:rsidR="00570228" w:rsidRDefault="00570228" w:rsidP="00573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B231B"/>
    <w:multiLevelType w:val="hybridMultilevel"/>
    <w:tmpl w:val="D048E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812A82"/>
    <w:multiLevelType w:val="hybridMultilevel"/>
    <w:tmpl w:val="35264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12B49"/>
    <w:multiLevelType w:val="hybridMultilevel"/>
    <w:tmpl w:val="832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431AF"/>
    <w:multiLevelType w:val="hybridMultilevel"/>
    <w:tmpl w:val="67E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0C"/>
    <w:rsid w:val="00047A0A"/>
    <w:rsid w:val="0007081A"/>
    <w:rsid w:val="000B7C11"/>
    <w:rsid w:val="00121675"/>
    <w:rsid w:val="0017298B"/>
    <w:rsid w:val="00177D0C"/>
    <w:rsid w:val="001A7334"/>
    <w:rsid w:val="001B71B4"/>
    <w:rsid w:val="001F3EDF"/>
    <w:rsid w:val="0020325D"/>
    <w:rsid w:val="00206349"/>
    <w:rsid w:val="002242DE"/>
    <w:rsid w:val="0025633C"/>
    <w:rsid w:val="00272067"/>
    <w:rsid w:val="002D5EE0"/>
    <w:rsid w:val="00365FDC"/>
    <w:rsid w:val="00397C98"/>
    <w:rsid w:val="003D4783"/>
    <w:rsid w:val="00424642"/>
    <w:rsid w:val="004334E4"/>
    <w:rsid w:val="004557FC"/>
    <w:rsid w:val="004942B7"/>
    <w:rsid w:val="004B2BF0"/>
    <w:rsid w:val="004C3A5C"/>
    <w:rsid w:val="005626DA"/>
    <w:rsid w:val="00564832"/>
    <w:rsid w:val="00570228"/>
    <w:rsid w:val="0057320C"/>
    <w:rsid w:val="005861A8"/>
    <w:rsid w:val="005A765C"/>
    <w:rsid w:val="0062344F"/>
    <w:rsid w:val="00646563"/>
    <w:rsid w:val="006666FC"/>
    <w:rsid w:val="00681056"/>
    <w:rsid w:val="00783D51"/>
    <w:rsid w:val="007A745C"/>
    <w:rsid w:val="008C2AD5"/>
    <w:rsid w:val="008C5866"/>
    <w:rsid w:val="008E4155"/>
    <w:rsid w:val="00A3003A"/>
    <w:rsid w:val="00B15FB0"/>
    <w:rsid w:val="00B214F8"/>
    <w:rsid w:val="00B3163E"/>
    <w:rsid w:val="00B44D21"/>
    <w:rsid w:val="00BB6822"/>
    <w:rsid w:val="00BF3C65"/>
    <w:rsid w:val="00BF411B"/>
    <w:rsid w:val="00C36CD6"/>
    <w:rsid w:val="00CC46C4"/>
    <w:rsid w:val="00D24297"/>
    <w:rsid w:val="00DB55DA"/>
    <w:rsid w:val="00DC0D86"/>
    <w:rsid w:val="00DF1C76"/>
    <w:rsid w:val="00E13B25"/>
    <w:rsid w:val="00E444B4"/>
    <w:rsid w:val="00E4502C"/>
    <w:rsid w:val="00E56A8F"/>
    <w:rsid w:val="00E6610C"/>
    <w:rsid w:val="00EA636E"/>
    <w:rsid w:val="00F06DC5"/>
    <w:rsid w:val="00FA084A"/>
    <w:rsid w:val="00FB4F09"/>
    <w:rsid w:val="00FC1DD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4355AA"/>
  <w15:docId w15:val="{1FB9C493-B06A-4F45-A6D7-40390EF3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table" w:styleId="TableGrid">
    <w:name w:val="Table Grid"/>
    <w:basedOn w:val="TableNormal"/>
    <w:rsid w:val="005732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20C"/>
    <w:pPr>
      <w:tabs>
        <w:tab w:val="center" w:pos="4680"/>
        <w:tab w:val="right" w:pos="9360"/>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57320C"/>
  </w:style>
  <w:style w:type="paragraph" w:styleId="BalloonText">
    <w:name w:val="Balloon Text"/>
    <w:basedOn w:val="Normal"/>
    <w:link w:val="BalloonTextChar"/>
    <w:uiPriority w:val="99"/>
    <w:semiHidden/>
    <w:unhideWhenUsed/>
    <w:rsid w:val="0057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C"/>
    <w:rPr>
      <w:rFonts w:ascii="Tahoma" w:hAnsi="Tahoma" w:cs="Tahoma"/>
      <w:sz w:val="16"/>
      <w:szCs w:val="16"/>
    </w:rPr>
  </w:style>
  <w:style w:type="paragraph" w:styleId="Header">
    <w:name w:val="header"/>
    <w:basedOn w:val="Normal"/>
    <w:link w:val="HeaderChar"/>
    <w:uiPriority w:val="99"/>
    <w:unhideWhenUsed/>
    <w:rsid w:val="0057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0C"/>
    <w:rPr>
      <w:rFonts w:ascii="HelveticaNeueLT Std" w:hAnsi="HelveticaNeueLT Std"/>
      <w:sz w:val="24"/>
      <w:szCs w:val="24"/>
    </w:rPr>
  </w:style>
  <w:style w:type="character" w:styleId="Hyperlink">
    <w:name w:val="Hyperlink"/>
    <w:basedOn w:val="DefaultParagraphFont"/>
    <w:uiPriority w:val="99"/>
    <w:unhideWhenUsed/>
    <w:rsid w:val="001F3EDF"/>
    <w:rPr>
      <w:color w:val="0000FF" w:themeColor="hyperlink"/>
      <w:u w:val="single"/>
    </w:rPr>
  </w:style>
  <w:style w:type="character" w:styleId="FollowedHyperlink">
    <w:name w:val="FollowedHyperlink"/>
    <w:basedOn w:val="DefaultParagraphFont"/>
    <w:uiPriority w:val="99"/>
    <w:semiHidden/>
    <w:unhideWhenUsed/>
    <w:rsid w:val="007A7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evin.weppler@gr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EAABC57B2BB17840AE6CB6D7B4518259" ma:contentTypeVersion="820" ma:contentTypeDescription="" ma:contentTypeScope="" ma:versionID="6ae05687f5cc04b58386e5811661c014">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GC_112465300</documentNumber>
    <Municipality xmlns="e6cd7bd4-3f3e-4495-b8c9-139289cd76e6" xsi:nil="true"/>
    <gcNumber xmlns="e6cd7bd4-3f3e-4495-b8c9-139289cd76e6" xsi:nil="true"/>
    <recordCategory xmlns="e6cd7bd4-3f3e-4495-b8c9-139289cd76e6">F30</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4a240ca4-e78c-485b-acd6-3c8b8d47d6a1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9E969D9-70BE-442A-A55F-2B4562194474}">
  <ds:schemaRefs>
    <ds:schemaRef ds:uri="http://schemas.openxmlformats.org/officeDocument/2006/bibliography"/>
  </ds:schemaRefs>
</ds:datastoreItem>
</file>

<file path=customXml/itemProps2.xml><?xml version="1.0" encoding="utf-8"?>
<ds:datastoreItem xmlns:ds="http://schemas.openxmlformats.org/officeDocument/2006/customXml" ds:itemID="{000355E4-1A48-4D7C-868F-E926D02D8CC4}"/>
</file>

<file path=customXml/itemProps3.xml><?xml version="1.0" encoding="utf-8"?>
<ds:datastoreItem xmlns:ds="http://schemas.openxmlformats.org/officeDocument/2006/customXml" ds:itemID="{27B39BE6-2ADD-478F-A8F8-79373A4F7F0D}"/>
</file>

<file path=customXml/itemProps4.xml><?xml version="1.0" encoding="utf-8"?>
<ds:datastoreItem xmlns:ds="http://schemas.openxmlformats.org/officeDocument/2006/customXml" ds:itemID="{73E451B2-33FF-49BD-B247-5B4D1E4468AA}"/>
</file>

<file path=customXml/itemProps5.xml><?xml version="1.0" encoding="utf-8"?>
<ds:datastoreItem xmlns:ds="http://schemas.openxmlformats.org/officeDocument/2006/customXml" ds:itemID="{2ED06ADD-AB0C-4ECC-8FB8-BB8F1277A895}"/>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Weppler, Kevin</cp:lastModifiedBy>
  <cp:revision>5</cp:revision>
  <cp:lastPrinted>2019-12-15T17:04:00Z</cp:lastPrinted>
  <dcterms:created xsi:type="dcterms:W3CDTF">2019-12-15T17:04:00Z</dcterms:created>
  <dcterms:modified xsi:type="dcterms:W3CDTF">2020-09-15T15:47:00Z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0x0101002C4164E063A41A4487A7365A660F11180100EAABC57B2BB17840AE6CB6D7B4518259</vt:lpwstr>
  </property>
  <property fmtid="{D5CDD505-2E9C-101B-9397-08002B2CF9AE}" pid="3" name="Order">
    <vt:r8>100</vt:r8>
  </property>
  <property fmtid="{D5CDD505-2E9C-101B-9397-08002B2CF9AE}" pid="4" name="_ExtendedDescription">
    <vt:lpwstr/>
  </property>
</Properties>
</file>