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883D8D">
        <w:rPr>
          <w:rStyle w:val="TitleChar"/>
        </w:rPr>
        <w:t xml:space="preserve">Corporate </w:t>
      </w:r>
      <w:r w:rsidR="00883D8D" w:rsidRPr="00E32F4D">
        <w:rPr>
          <w:rStyle w:val="TitleChar"/>
        </w:rPr>
        <w:t>Policy</w:t>
      </w:r>
    </w:p>
    <w:p w:rsidR="00883D8D" w:rsidRDefault="009160CF" w:rsidP="00464176">
      <w:pPr>
        <w:pStyle w:val="Heading1"/>
        <w:jc w:val="center"/>
      </w:pPr>
      <w:r>
        <w:t>Accessibility</w:t>
      </w:r>
      <w:r w:rsidR="00883D8D">
        <w:t xml:space="preserve"> Policy</w:t>
      </w:r>
    </w:p>
    <w:p w:rsidR="00883D8D" w:rsidRDefault="00883D8D" w:rsidP="00883D8D">
      <w:pPr>
        <w:pStyle w:val="NoSpacing"/>
        <w:tabs>
          <w:tab w:val="left" w:pos="4320"/>
        </w:tabs>
        <w:spacing w:line="276" w:lineRule="auto"/>
        <w:rPr>
          <w:rFonts w:asciiTheme="minorHAnsi" w:hAnsiTheme="minorHAnsi"/>
        </w:rPr>
      </w:pPr>
      <w:r>
        <w:rPr>
          <w:rStyle w:val="Strong"/>
          <w:rFonts w:asciiTheme="minorHAnsi" w:hAnsiTheme="minorHAnsi"/>
        </w:rPr>
        <w:t>Approved by</w:t>
      </w:r>
      <w:r>
        <w:rPr>
          <w:rFonts w:asciiTheme="minorHAnsi" w:hAnsiTheme="minorHAnsi"/>
        </w:rPr>
        <w:t>:</w:t>
      </w:r>
      <w:r w:rsidR="009160CF">
        <w:rPr>
          <w:rFonts w:asciiTheme="minorHAnsi" w:hAnsiTheme="minorHAnsi"/>
        </w:rPr>
        <w:t xml:space="preserve"> County Council</w:t>
      </w:r>
      <w:r w:rsidR="009160CF">
        <w:rPr>
          <w:rFonts w:asciiTheme="minorHAnsi" w:hAnsiTheme="minorHAnsi"/>
        </w:rPr>
        <w:tab/>
      </w:r>
      <w:r>
        <w:rPr>
          <w:rFonts w:asciiTheme="minorHAnsi" w:hAnsiTheme="minorHAnsi"/>
          <w:b/>
        </w:rPr>
        <w:t>Date Approved</w:t>
      </w:r>
      <w:r>
        <w:rPr>
          <w:rFonts w:asciiTheme="minorHAnsi" w:hAnsiTheme="minorHAnsi"/>
        </w:rPr>
        <w:t>:</w:t>
      </w:r>
      <w:r w:rsidR="009160CF">
        <w:rPr>
          <w:rFonts w:asciiTheme="minorHAnsi" w:hAnsiTheme="minorHAnsi"/>
        </w:rPr>
        <w:t xml:space="preserve"> February 7, 2012</w:t>
      </w:r>
      <w:r>
        <w:rPr>
          <w:rFonts w:asciiTheme="minorHAnsi" w:hAnsiTheme="minorHAnsi"/>
        </w:rPr>
        <w:t xml:space="preserve">  </w:t>
      </w:r>
    </w:p>
    <w:p w:rsidR="00883D8D" w:rsidRDefault="00883D8D" w:rsidP="00883D8D">
      <w:pPr>
        <w:pStyle w:val="NoSpacing"/>
        <w:tabs>
          <w:tab w:val="left" w:pos="4320"/>
        </w:tabs>
        <w:spacing w:line="276" w:lineRule="auto"/>
        <w:rPr>
          <w:rFonts w:asciiTheme="minorHAnsi" w:hAnsiTheme="minorHAnsi"/>
        </w:rPr>
      </w:pPr>
      <w:r>
        <w:rPr>
          <w:rFonts w:asciiTheme="minorHAnsi" w:hAnsiTheme="minorHAnsi"/>
          <w:b/>
        </w:rPr>
        <w:t>Last Revision Date</w:t>
      </w:r>
      <w:r>
        <w:rPr>
          <w:rFonts w:asciiTheme="minorHAnsi" w:hAnsiTheme="minorHAnsi"/>
        </w:rPr>
        <w:t>:</w:t>
      </w:r>
      <w:r w:rsidR="009160CF">
        <w:rPr>
          <w:rFonts w:asciiTheme="minorHAnsi" w:hAnsiTheme="minorHAnsi"/>
        </w:rPr>
        <w:t xml:space="preserve"> November 2009</w:t>
      </w:r>
      <w:r>
        <w:rPr>
          <w:rFonts w:asciiTheme="minorHAnsi" w:hAnsiTheme="minorHAnsi"/>
        </w:rPr>
        <w:t xml:space="preserve">  </w:t>
      </w:r>
      <w:r>
        <w:rPr>
          <w:rFonts w:asciiTheme="minorHAnsi" w:hAnsiTheme="minorHAnsi"/>
        </w:rPr>
        <w:tab/>
      </w:r>
      <w:r>
        <w:rPr>
          <w:rStyle w:val="Strong"/>
          <w:rFonts w:asciiTheme="minorHAnsi" w:hAnsiTheme="minorHAnsi"/>
        </w:rPr>
        <w:t>Replaces</w:t>
      </w:r>
      <w:r>
        <w:rPr>
          <w:rFonts w:asciiTheme="minorHAnsi" w:hAnsiTheme="minorHAnsi"/>
        </w:rPr>
        <w:t>:</w:t>
      </w:r>
      <w:r w:rsidR="009160CF">
        <w:rPr>
          <w:rFonts w:asciiTheme="minorHAnsi" w:hAnsiTheme="minorHAnsi"/>
        </w:rPr>
        <w:t xml:space="preserve"> ADM-04-09</w:t>
      </w:r>
      <w:r>
        <w:rPr>
          <w:rFonts w:asciiTheme="minorHAnsi" w:hAnsiTheme="minorHAnsi"/>
        </w:rPr>
        <w:t xml:space="preserve">  </w:t>
      </w:r>
    </w:p>
    <w:p w:rsidR="00883D8D" w:rsidRDefault="00883D8D" w:rsidP="00883D8D">
      <w:pPr>
        <w:pStyle w:val="NoSpacing"/>
        <w:tabs>
          <w:tab w:val="left" w:pos="4320"/>
        </w:tabs>
        <w:spacing w:after="240" w:line="276" w:lineRule="auto"/>
        <w:rPr>
          <w:rFonts w:asciiTheme="minorHAnsi" w:hAnsiTheme="minorHAnsi"/>
        </w:rPr>
      </w:pPr>
      <w:r>
        <w:rPr>
          <w:rStyle w:val="Strong"/>
          <w:rFonts w:asciiTheme="minorHAnsi" w:hAnsiTheme="minorHAnsi"/>
        </w:rPr>
        <w:t>Scheduled for Review by</w:t>
      </w:r>
      <w:r>
        <w:rPr>
          <w:rFonts w:asciiTheme="minorHAnsi" w:hAnsiTheme="minorHAnsi"/>
        </w:rPr>
        <w:t xml:space="preserve">: </w:t>
      </w:r>
      <w:r w:rsidR="009160CF">
        <w:rPr>
          <w:rFonts w:asciiTheme="minorHAnsi" w:hAnsiTheme="minorHAnsi"/>
        </w:rPr>
        <w:t>2017</w:t>
      </w:r>
    </w:p>
    <w:p w:rsidR="009160CF" w:rsidRDefault="00883D8D" w:rsidP="00883D8D">
      <w:pPr>
        <w:pStyle w:val="NoSpacing"/>
        <w:tabs>
          <w:tab w:val="left" w:pos="4320"/>
        </w:tabs>
        <w:spacing w:line="276" w:lineRule="auto"/>
        <w:rPr>
          <w:rStyle w:val="Strong"/>
          <w:rFonts w:asciiTheme="minorHAnsi" w:hAnsiTheme="minorHAnsi"/>
        </w:rPr>
      </w:pPr>
      <w:r>
        <w:rPr>
          <w:rStyle w:val="Strong"/>
          <w:rFonts w:asciiTheme="minorHAnsi" w:hAnsiTheme="minorHAnsi"/>
        </w:rPr>
        <w:t>Policy Number:</w:t>
      </w:r>
      <w:r w:rsidR="009160CF">
        <w:rPr>
          <w:rStyle w:val="Strong"/>
          <w:rFonts w:asciiTheme="minorHAnsi" w:hAnsiTheme="minorHAnsi"/>
        </w:rPr>
        <w:t xml:space="preserve"> MS-ACC-001</w:t>
      </w:r>
      <w:r>
        <w:rPr>
          <w:rStyle w:val="Strong"/>
          <w:rFonts w:asciiTheme="minorHAnsi" w:hAnsiTheme="minorHAnsi"/>
        </w:rPr>
        <w:t xml:space="preserve">  </w:t>
      </w:r>
      <w:r>
        <w:rPr>
          <w:rStyle w:val="Strong"/>
          <w:rFonts w:asciiTheme="minorHAnsi" w:hAnsiTheme="minorHAnsi"/>
        </w:rPr>
        <w:tab/>
        <w:t>Section:</w:t>
      </w:r>
      <w:r w:rsidR="009160CF">
        <w:rPr>
          <w:rStyle w:val="Strong"/>
          <w:rFonts w:asciiTheme="minorHAnsi" w:hAnsiTheme="minorHAnsi"/>
        </w:rPr>
        <w:t xml:space="preserve"> Municipal Services</w:t>
      </w:r>
    </w:p>
    <w:p w:rsidR="00883D8D" w:rsidRPr="00E32F4D" w:rsidRDefault="00883D8D" w:rsidP="00883D8D">
      <w:pPr>
        <w:pStyle w:val="NoSpacing"/>
        <w:tabs>
          <w:tab w:val="left" w:pos="4320"/>
        </w:tabs>
        <w:spacing w:line="276" w:lineRule="auto"/>
        <w:rPr>
          <w:rStyle w:val="Strong"/>
          <w:rFonts w:asciiTheme="minorHAnsi" w:hAnsiTheme="minorHAnsi"/>
          <w:b w:val="0"/>
          <w:bCs w:val="0"/>
        </w:rPr>
      </w:pPr>
      <w:r>
        <w:rPr>
          <w:rStyle w:val="Strong"/>
          <w:rFonts w:asciiTheme="minorHAnsi" w:hAnsiTheme="minorHAnsi"/>
        </w:rPr>
        <w:t>Sub Section:</w:t>
      </w:r>
      <w:r w:rsidR="009160CF">
        <w:rPr>
          <w:rStyle w:val="Strong"/>
          <w:rFonts w:asciiTheme="minorHAnsi" w:hAnsiTheme="minorHAnsi"/>
        </w:rPr>
        <w:t xml:space="preserve"> Accessibility</w:t>
      </w:r>
      <w:r>
        <w:rPr>
          <w:rStyle w:val="Strong"/>
          <w:rFonts w:asciiTheme="minorHAnsi" w:hAnsiTheme="minorHAnsi"/>
        </w:rPr>
        <w:t xml:space="preserve">  </w:t>
      </w:r>
    </w:p>
    <w:p w:rsidR="00094882" w:rsidRPr="00DB2258" w:rsidRDefault="00094882" w:rsidP="00094882">
      <w:pPr>
        <w:spacing w:before="240" w:after="0"/>
        <w:rPr>
          <w:rStyle w:val="Strong"/>
          <w:bCs w:val="0"/>
        </w:rPr>
      </w:pPr>
      <w:r w:rsidRPr="00DB2258">
        <w:rPr>
          <w:rStyle w:val="Strong"/>
        </w:rPr>
        <w:t>References and Related Documents</w:t>
      </w:r>
    </w:p>
    <w:p w:rsidR="009160CF" w:rsidRDefault="009160CF" w:rsidP="009160CF">
      <w:pPr>
        <w:pStyle w:val="ListParagraph"/>
        <w:rPr>
          <w:rStyle w:val="Emphasis"/>
        </w:rPr>
      </w:pPr>
      <w:hyperlink r:id="rId9" w:history="1">
        <w:r>
          <w:rPr>
            <w:rStyle w:val="Hyperlink"/>
          </w:rPr>
          <w:t>Ontarians with Disabilities Act, 2011</w:t>
        </w:r>
      </w:hyperlink>
    </w:p>
    <w:p w:rsidR="009160CF" w:rsidRDefault="009160CF" w:rsidP="009160CF">
      <w:pPr>
        <w:pStyle w:val="ListParagraph"/>
        <w:rPr>
          <w:rStyle w:val="Hyperlink"/>
        </w:rPr>
      </w:pPr>
      <w:r>
        <w:rPr>
          <w:rStyle w:val="Emphasis"/>
        </w:rPr>
        <w:t xml:space="preserve"> </w:t>
      </w:r>
      <w:hyperlink r:id="rId10" w:history="1">
        <w:r>
          <w:rPr>
            <w:rStyle w:val="Hyperlink"/>
          </w:rPr>
          <w:t>Accessibility for Ontarians with Disabilities Act, 2005</w:t>
        </w:r>
      </w:hyperlink>
    </w:p>
    <w:p w:rsidR="009160CF" w:rsidRDefault="009160CF" w:rsidP="009160CF">
      <w:pPr>
        <w:pStyle w:val="ListParagraph"/>
        <w:rPr>
          <w:rStyle w:val="Emphasis"/>
        </w:rPr>
      </w:pPr>
      <w:hyperlink r:id="rId11" w:history="1">
        <w:r>
          <w:rPr>
            <w:rStyle w:val="Hyperlink"/>
          </w:rPr>
          <w:t>Accessibility Standards for Customer Service-Ontario Regulation 429/07</w:t>
        </w:r>
      </w:hyperlink>
      <w:r>
        <w:rPr>
          <w:rStyle w:val="Emphasis"/>
        </w:rPr>
        <w:t xml:space="preserve"> </w:t>
      </w:r>
    </w:p>
    <w:p w:rsidR="009160CF" w:rsidRPr="004200B0" w:rsidRDefault="009160CF" w:rsidP="009160CF">
      <w:pPr>
        <w:pStyle w:val="ListParagraph"/>
      </w:pPr>
      <w:hyperlink r:id="rId12" w:history="1">
        <w:r>
          <w:rPr>
            <w:rStyle w:val="Hyperlink"/>
          </w:rPr>
          <w:t>Ontario Human Rights Code</w:t>
        </w:r>
      </w:hyperlink>
      <w:r w:rsidRPr="004200B0">
        <w:t xml:space="preserve"> </w:t>
      </w:r>
    </w:p>
    <w:p w:rsidR="009160CF" w:rsidRDefault="009160CF" w:rsidP="009160CF">
      <w:pPr>
        <w:pStyle w:val="ListParagraph"/>
      </w:pPr>
      <w:hyperlink r:id="rId13" w:history="1">
        <w:r>
          <w:rPr>
            <w:rStyle w:val="Hyperlink"/>
          </w:rPr>
          <w:t>Ontario Regulation 31/05 Food Safety and Quality Act 2001</w:t>
        </w:r>
      </w:hyperlink>
    </w:p>
    <w:p w:rsidR="009160CF" w:rsidRPr="004200B0" w:rsidRDefault="009160CF" w:rsidP="009160CF">
      <w:pPr>
        <w:pStyle w:val="ListParagraph"/>
      </w:pPr>
      <w:r>
        <w:t xml:space="preserve"> </w:t>
      </w:r>
      <w:hyperlink r:id="rId14" w:history="1">
        <w:r>
          <w:rPr>
            <w:rStyle w:val="Hyperlink"/>
          </w:rPr>
          <w:t>Dog Owner's Liability Act</w:t>
        </w:r>
      </w:hyperlink>
    </w:p>
    <w:p w:rsidR="009160CF" w:rsidRDefault="009160CF" w:rsidP="009160CF">
      <w:pPr>
        <w:pStyle w:val="ListParagraph"/>
      </w:pPr>
      <w:hyperlink r:id="rId15" w:history="1">
        <w:r>
          <w:rPr>
            <w:rStyle w:val="Hyperlink"/>
          </w:rPr>
          <w:t>Ontario Regulation 562 under Health Protection and Promotion Act</w:t>
        </w:r>
      </w:hyperlink>
      <w:r>
        <w:t xml:space="preserve"> </w:t>
      </w:r>
    </w:p>
    <w:p w:rsidR="009160CF" w:rsidRDefault="009160CF" w:rsidP="009160CF">
      <w:pPr>
        <w:pStyle w:val="ListParagraph"/>
      </w:pPr>
      <w:hyperlink r:id="rId16" w:history="1">
        <w:r>
          <w:rPr>
            <w:rStyle w:val="Hyperlink"/>
          </w:rPr>
          <w:t>Integrated Accessibility Standard-Ontario Regulation 191/11</w:t>
        </w:r>
      </w:hyperlink>
      <w:r>
        <w:t xml:space="preserve">  </w:t>
      </w:r>
    </w:p>
    <w:p w:rsidR="009160CF" w:rsidRPr="004200B0" w:rsidRDefault="009160CF" w:rsidP="009160CF">
      <w:pPr>
        <w:pStyle w:val="ListParagraph"/>
      </w:pPr>
      <w:hyperlink r:id="rId17" w:tooltip="Grey County 2011 Accessibility Plan with Appendices" w:history="1">
        <w:r w:rsidRPr="004200B0">
          <w:rPr>
            <w:rStyle w:val="Hyperlink"/>
          </w:rPr>
          <w:t>Grey County 2011 Accessibility Plan with Appendices</w:t>
        </w:r>
      </w:hyperlink>
    </w:p>
    <w:p w:rsidR="009160CF" w:rsidRDefault="009160CF" w:rsidP="009160CF">
      <w:pPr>
        <w:pStyle w:val="ListParagraph"/>
        <w:rPr>
          <w:rStyle w:val="Hyperlink"/>
        </w:rPr>
      </w:pPr>
      <w:hyperlink r:id="rId18" w:tooltip="MS-ACC-001-001 Accessibility Procedure " w:history="1">
        <w:r w:rsidRPr="004200B0">
          <w:rPr>
            <w:rStyle w:val="Hyperlink"/>
          </w:rPr>
          <w:t xml:space="preserve">MS-ACC-001-001 Accessibility Procedure </w:t>
        </w:r>
      </w:hyperlink>
    </w:p>
    <w:p w:rsidR="00094882" w:rsidRPr="009160CF" w:rsidRDefault="009160CF" w:rsidP="009160CF">
      <w:pPr>
        <w:pStyle w:val="ListParagraph"/>
        <w:rPr>
          <w:rStyle w:val="Strong"/>
          <w:b w:val="0"/>
          <w:bCs w:val="0"/>
        </w:rPr>
      </w:pPr>
      <w:r w:rsidRPr="004200B0">
        <w:t>Other Accessibility Standards as enacted</w:t>
      </w:r>
      <w:r w:rsidRPr="00C6057B">
        <w:rPr>
          <w:rStyle w:val="FollowedHyperlink"/>
        </w:rPr>
        <w:t xml:space="preserve"> </w:t>
      </w:r>
    </w:p>
    <w:p w:rsidR="00883D8D" w:rsidRPr="00464176" w:rsidRDefault="00883D8D" w:rsidP="00E32F4D">
      <w:pPr>
        <w:pStyle w:val="Heading2"/>
      </w:pPr>
      <w:r w:rsidRPr="00464176">
        <w:t>Policy Statement</w:t>
      </w:r>
    </w:p>
    <w:p w:rsidR="009160CF" w:rsidRPr="004200B0" w:rsidRDefault="009160CF" w:rsidP="009160CF">
      <w:pPr>
        <w:spacing w:after="240"/>
      </w:pPr>
      <w:r w:rsidRPr="004200B0">
        <w:t>The County of Grey is committed to being responsive to the needs of all customers and members of the public.  To do this, the County must recognize the diverse needs of all residents and respond by trying to provide services and facilities that are accessible to all.  As an employer and provider of public service, the County of Grey is committed to ensuring its services are provided in an accessible manner.</w:t>
      </w:r>
    </w:p>
    <w:p w:rsidR="009160CF" w:rsidRPr="009160CF" w:rsidRDefault="009160CF" w:rsidP="009160CF">
      <w:r w:rsidRPr="009160CF">
        <w:rPr>
          <w:rStyle w:val="StyleCalibri"/>
          <w:rFonts w:asciiTheme="minorHAnsi" w:hAnsiTheme="minorHAnsi"/>
        </w:rPr>
        <w:t xml:space="preserve">The County of Grey will promote accessibility through the development of policy, practices and procedures and by ensuring that consideration is given to persons with disabilities.  To do this, policies, practices and procedures shall address </w:t>
      </w:r>
      <w:r w:rsidRPr="009160CF">
        <w:rPr>
          <w:b/>
        </w:rPr>
        <w:t>dignity</w:t>
      </w:r>
      <w:r w:rsidRPr="009160CF">
        <w:rPr>
          <w:rStyle w:val="StyleCalibri"/>
          <w:rFonts w:asciiTheme="minorHAnsi" w:hAnsiTheme="minorHAnsi"/>
        </w:rPr>
        <w:t xml:space="preserve">, </w:t>
      </w:r>
      <w:r w:rsidRPr="009160CF">
        <w:rPr>
          <w:b/>
        </w:rPr>
        <w:t>equity</w:t>
      </w:r>
      <w:r w:rsidRPr="009160CF">
        <w:rPr>
          <w:rStyle w:val="StyleCalibri"/>
          <w:rFonts w:asciiTheme="minorHAnsi" w:hAnsiTheme="minorHAnsi"/>
        </w:rPr>
        <w:t xml:space="preserve">, </w:t>
      </w:r>
      <w:r w:rsidRPr="009160CF">
        <w:rPr>
          <w:b/>
        </w:rPr>
        <w:t>inclusion</w:t>
      </w:r>
      <w:r w:rsidRPr="009160CF">
        <w:rPr>
          <w:rStyle w:val="StyleCalibri"/>
          <w:rFonts w:asciiTheme="minorHAnsi" w:hAnsiTheme="minorHAnsi"/>
        </w:rPr>
        <w:t xml:space="preserve">, </w:t>
      </w:r>
      <w:r w:rsidRPr="009160CF">
        <w:rPr>
          <w:b/>
        </w:rPr>
        <w:t>independence</w:t>
      </w:r>
      <w:r w:rsidRPr="009160CF">
        <w:rPr>
          <w:rStyle w:val="StyleCalibri"/>
          <w:rFonts w:asciiTheme="minorHAnsi" w:hAnsiTheme="minorHAnsi"/>
        </w:rPr>
        <w:t xml:space="preserve"> and </w:t>
      </w:r>
      <w:r w:rsidRPr="009160CF">
        <w:rPr>
          <w:b/>
        </w:rPr>
        <w:t>responsiveness</w:t>
      </w:r>
      <w:r w:rsidRPr="009160CF">
        <w:rPr>
          <w:rStyle w:val="StyleCalibri"/>
          <w:rFonts w:asciiTheme="minorHAnsi" w:hAnsiTheme="minorHAnsi"/>
        </w:rPr>
        <w:t>.</w:t>
      </w:r>
    </w:p>
    <w:p w:rsidR="00883D8D" w:rsidRDefault="00883D8D" w:rsidP="00E32F4D">
      <w:pPr>
        <w:pStyle w:val="Heading2"/>
        <w:rPr>
          <w:rFonts w:ascii="HelveticaNeueLT Std Lt" w:hAnsi="HelveticaNeueLT Std Lt"/>
          <w:sz w:val="24"/>
          <w:szCs w:val="24"/>
        </w:rPr>
      </w:pPr>
      <w:r>
        <w:t>Purpose</w:t>
      </w:r>
    </w:p>
    <w:p w:rsidR="009160CF" w:rsidRPr="009160CF" w:rsidRDefault="009160CF" w:rsidP="009160CF">
      <w:pPr>
        <w:rPr>
          <w:rStyle w:val="StyleCalibri"/>
          <w:rFonts w:asciiTheme="minorHAnsi" w:hAnsiTheme="minorHAnsi"/>
        </w:rPr>
      </w:pPr>
      <w:r w:rsidRPr="009160CF">
        <w:rPr>
          <w:rStyle w:val="StyleCalibri"/>
          <w:rFonts w:asciiTheme="minorHAnsi" w:hAnsiTheme="minorHAnsi"/>
        </w:rPr>
        <w:t xml:space="preserve">This policy is intended to address the requirements of the </w:t>
      </w:r>
      <w:r w:rsidRPr="009160CF">
        <w:rPr>
          <w:i/>
        </w:rPr>
        <w:t>Accessibility for Ontarians with Di</w:t>
      </w:r>
      <w:bookmarkStart w:id="0" w:name="_GoBack"/>
      <w:bookmarkEnd w:id="0"/>
      <w:r w:rsidRPr="009160CF">
        <w:rPr>
          <w:i/>
        </w:rPr>
        <w:t>sabilities Act, 2005 (AODA)</w:t>
      </w:r>
      <w:r w:rsidRPr="009160CF">
        <w:rPr>
          <w:rStyle w:val="StyleCalibri"/>
          <w:rFonts w:asciiTheme="minorHAnsi" w:hAnsiTheme="minorHAnsi"/>
        </w:rPr>
        <w:t xml:space="preserve"> and related Standards and Regulations introduced </w:t>
      </w:r>
      <w:r w:rsidRPr="009160CF">
        <w:rPr>
          <w:rStyle w:val="StyleCalibri"/>
          <w:rFonts w:asciiTheme="minorHAnsi" w:hAnsiTheme="minorHAnsi"/>
        </w:rPr>
        <w:lastRenderedPageBreak/>
        <w:t>under the legislation, ensuring that persons with disabilities are provided equal opportunities and standards of service.</w:t>
      </w:r>
    </w:p>
    <w:p w:rsidR="009160CF" w:rsidRPr="009160CF" w:rsidRDefault="009160CF" w:rsidP="009160CF">
      <w:pPr>
        <w:spacing w:after="240"/>
        <w:rPr>
          <w:rStyle w:val="StyleCalibri"/>
          <w:rFonts w:asciiTheme="minorHAnsi" w:hAnsiTheme="minorHAnsi"/>
        </w:rPr>
      </w:pPr>
      <w:r w:rsidRPr="009160CF">
        <w:rPr>
          <w:rStyle w:val="StyleCalibri"/>
          <w:rFonts w:asciiTheme="minorHAnsi" w:hAnsiTheme="minorHAnsi"/>
        </w:rPr>
        <w:t>This policy enables the implementation of procedures to ensure compliance with the accessibility standards developed by the Accessibility Directorate of Ontario Standards Development Committee as listed below:</w:t>
      </w:r>
    </w:p>
    <w:p w:rsidR="009160CF" w:rsidRPr="009160CF" w:rsidRDefault="009160CF" w:rsidP="009160CF">
      <w:pPr>
        <w:pStyle w:val="ListParagraph"/>
      </w:pPr>
      <w:r w:rsidRPr="009160CF">
        <w:t>Accessible Customer Service</w:t>
      </w:r>
    </w:p>
    <w:p w:rsidR="009160CF" w:rsidRPr="009160CF" w:rsidRDefault="009160CF" w:rsidP="009160CF">
      <w:pPr>
        <w:pStyle w:val="ListParagraph"/>
      </w:pPr>
      <w:r w:rsidRPr="009160CF">
        <w:t>Accessible Information and Communication</w:t>
      </w:r>
    </w:p>
    <w:p w:rsidR="009160CF" w:rsidRPr="009160CF" w:rsidRDefault="009160CF" w:rsidP="009160CF">
      <w:pPr>
        <w:pStyle w:val="ListParagraph"/>
      </w:pPr>
      <w:r w:rsidRPr="009160CF">
        <w:t>Accessible Built Environment</w:t>
      </w:r>
    </w:p>
    <w:p w:rsidR="009160CF" w:rsidRPr="009160CF" w:rsidRDefault="009160CF" w:rsidP="009160CF">
      <w:pPr>
        <w:pStyle w:val="ListParagraph"/>
      </w:pPr>
      <w:r w:rsidRPr="009160CF">
        <w:t>Employment Accessibility</w:t>
      </w:r>
    </w:p>
    <w:p w:rsidR="009160CF" w:rsidRPr="009160CF" w:rsidRDefault="009160CF" w:rsidP="009160CF">
      <w:pPr>
        <w:pStyle w:val="ListParagraph"/>
        <w:spacing w:after="240"/>
      </w:pPr>
      <w:r w:rsidRPr="009160CF">
        <w:t>Accessible Transportation</w:t>
      </w:r>
    </w:p>
    <w:p w:rsidR="009160CF" w:rsidRPr="009160CF" w:rsidRDefault="009160CF" w:rsidP="009160CF">
      <w:r w:rsidRPr="009160CF">
        <w:t>The established procedures shall ensure compliance by recognizing the use of assistive devices, support persons, service animals and other accessible means.</w:t>
      </w:r>
    </w:p>
    <w:p w:rsidR="009160CF" w:rsidRPr="009160CF" w:rsidRDefault="009160CF" w:rsidP="009160CF">
      <w:r w:rsidRPr="009160CF">
        <w:t>This policy applies to Council, County employees as well as volunteers, agents or contractors representing or performing any function on behalf of the County.</w:t>
      </w:r>
    </w:p>
    <w:p w:rsidR="00FE7170" w:rsidRDefault="00FE7170" w:rsidP="009160CF">
      <w:pPr>
        <w:pStyle w:val="Heading2"/>
      </w:pPr>
    </w:p>
    <w:sectPr w:rsidR="00FE7170" w:rsidSect="00E32F4D">
      <w:footerReference w:type="default" r:id="rId1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01" w:rsidRDefault="00907201" w:rsidP="00883D8D">
      <w:pPr>
        <w:spacing w:after="0" w:line="240" w:lineRule="auto"/>
      </w:pPr>
      <w:r>
        <w:separator/>
      </w:r>
    </w:p>
  </w:endnote>
  <w:endnote w:type="continuationSeparator" w:id="0">
    <w:p w:rsidR="00907201" w:rsidRDefault="00907201"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CF" w:rsidRDefault="009160CF">
    <w:pPr>
      <w:pStyle w:val="Footer"/>
      <w:rPr>
        <w:sz w:val="22"/>
        <w:szCs w:val="22"/>
      </w:rPr>
    </w:pPr>
    <w:r>
      <w:rPr>
        <w:sz w:val="22"/>
        <w:szCs w:val="22"/>
      </w:rPr>
      <w:t xml:space="preserve">MS-ACC-001 Accessibility Customer </w:t>
    </w:r>
  </w:p>
  <w:p w:rsidR="00883D8D" w:rsidRPr="00883D8D" w:rsidRDefault="009160CF">
    <w:pPr>
      <w:pStyle w:val="Footer"/>
      <w:rPr>
        <w:sz w:val="22"/>
        <w:szCs w:val="22"/>
      </w:rPr>
    </w:pPr>
    <w:r>
      <w:rPr>
        <w:sz w:val="22"/>
        <w:szCs w:val="22"/>
      </w:rPr>
      <w:t>Service</w:t>
    </w:r>
    <w:r w:rsidR="00883D8D">
      <w:rPr>
        <w:sz w:val="22"/>
        <w:szCs w:val="22"/>
      </w:rPr>
      <w:t xml:space="preserve"> Policy</w:t>
    </w:r>
    <w:r w:rsidR="00883D8D" w:rsidRPr="00CA5BB1">
      <w:rPr>
        <w:sz w:val="22"/>
        <w:szCs w:val="22"/>
      </w:rPr>
      <w:ptab w:relativeTo="margin" w:alignment="center" w:leader="none"/>
    </w:r>
    <w:r w:rsidR="00883D8D" w:rsidRPr="00CA5BB1">
      <w:rPr>
        <w:sz w:val="22"/>
        <w:szCs w:val="22"/>
      </w:rPr>
      <w:fldChar w:fldCharType="begin"/>
    </w:r>
    <w:r w:rsidR="00883D8D" w:rsidRPr="00CA5BB1">
      <w:rPr>
        <w:sz w:val="22"/>
        <w:szCs w:val="22"/>
      </w:rPr>
      <w:instrText xml:space="preserve"> PAGE   \* MERGEFORMAT </w:instrText>
    </w:r>
    <w:r w:rsidR="00883D8D" w:rsidRPr="00CA5BB1">
      <w:rPr>
        <w:sz w:val="22"/>
        <w:szCs w:val="22"/>
      </w:rPr>
      <w:fldChar w:fldCharType="separate"/>
    </w:r>
    <w:r>
      <w:rPr>
        <w:noProof/>
        <w:sz w:val="22"/>
        <w:szCs w:val="22"/>
      </w:rPr>
      <w:t>1</w:t>
    </w:r>
    <w:r w:rsidR="00883D8D" w:rsidRPr="00CA5BB1">
      <w:rPr>
        <w:noProof/>
        <w:sz w:val="22"/>
        <w:szCs w:val="22"/>
      </w:rPr>
      <w:fldChar w:fldCharType="end"/>
    </w:r>
    <w:r w:rsidR="00883D8D" w:rsidRPr="00CA5BB1">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01" w:rsidRDefault="00907201" w:rsidP="00883D8D">
      <w:pPr>
        <w:spacing w:after="0" w:line="240" w:lineRule="auto"/>
      </w:pPr>
      <w:r>
        <w:separator/>
      </w:r>
    </w:p>
  </w:footnote>
  <w:footnote w:type="continuationSeparator" w:id="0">
    <w:p w:rsidR="00907201" w:rsidRDefault="00907201"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94882"/>
    <w:rsid w:val="000B7C11"/>
    <w:rsid w:val="00247CA8"/>
    <w:rsid w:val="002915BC"/>
    <w:rsid w:val="002C6064"/>
    <w:rsid w:val="00446A72"/>
    <w:rsid w:val="00464176"/>
    <w:rsid w:val="004942B7"/>
    <w:rsid w:val="004F083D"/>
    <w:rsid w:val="005A360A"/>
    <w:rsid w:val="006563A9"/>
    <w:rsid w:val="006B4C34"/>
    <w:rsid w:val="00883D8D"/>
    <w:rsid w:val="00907201"/>
    <w:rsid w:val="009160CF"/>
    <w:rsid w:val="00A63DD6"/>
    <w:rsid w:val="00AA5E09"/>
    <w:rsid w:val="00B64986"/>
    <w:rsid w:val="00CE439D"/>
    <w:rsid w:val="00E32F4D"/>
    <w:rsid w:val="00F2178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99"/>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rsid w:val="009160CF"/>
    <w:rPr>
      <w:color w:val="800080"/>
      <w:u w:val="single"/>
    </w:rPr>
  </w:style>
  <w:style w:type="character" w:customStyle="1" w:styleId="StyleCalibri">
    <w:name w:val="Style Calibri"/>
    <w:basedOn w:val="DefaultParagraphFont"/>
    <w:rsid w:val="009160CF"/>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99"/>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rsid w:val="009160CF"/>
    <w:rPr>
      <w:color w:val="800080"/>
      <w:u w:val="single"/>
    </w:rPr>
  </w:style>
  <w:style w:type="character" w:customStyle="1" w:styleId="StyleCalibri">
    <w:name w:val="Style Calibri"/>
    <w:basedOn w:val="DefaultParagraphFont"/>
    <w:rsid w:val="009160C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laws.gov.on.ca/html/regs/english/elaws_regs_050031_e.htm" TargetMode="External"/><Relationship Id="rId18" Type="http://schemas.openxmlformats.org/officeDocument/2006/relationships/hyperlink" Target="https://greydocs.greycounty.ca/ucm/idcplg?IdcService=GET_FILE&amp;dDocName=GC_049574&amp;RevisionSelectionMethod=LatestReleased&amp;Rendition=Web"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hrc.on.ca/en/ontario-human-rights-code" TargetMode="External"/><Relationship Id="rId17" Type="http://schemas.openxmlformats.org/officeDocument/2006/relationships/hyperlink" Target="https://greydocs.greycounty.ca/ucm/idcplg?IdcService=GET_FILE&amp;dDocName=GC_049086&amp;RevisionSelectionMethod=LatestReleased&amp;Rendition=Web" TargetMode="Externa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www.e-laws.gov.on.ca/html/source/regs/english/2011/elaws_src_regs_r11191_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9.167.40.96/doc.asp?unit=cust-serv-reg&amp;doc=guide&amp;lang=en"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e-laws.gov.on.ca/html/regs/english/elaws_regs_900562_e.htm" TargetMode="External"/><Relationship Id="rId23" Type="http://schemas.openxmlformats.org/officeDocument/2006/relationships/customXml" Target="../customXml/item3.xml"/><Relationship Id="rId10" Type="http://schemas.openxmlformats.org/officeDocument/2006/relationships/hyperlink" Target="http://www.e-laws.gov.on.ca/html/source/regs/english/2011/elaws_src_regs_r11191_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aws.gov.on.ca/html/statutes/english/elaws_statutes_01o32_e.htm" TargetMode="External"/><Relationship Id="rId14" Type="http://schemas.openxmlformats.org/officeDocument/2006/relationships/hyperlink" Target="http://www.e-laws.gov.on.ca/html/statutes/english/elaws_statutes_90d16_e.ht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2011-08-08T10:46:00+00:00</sentdate>
    <Superseded xmlns="e6cd7bd4-3f3e-4495-b8c9-139289cd76e6">false</Superseded>
    <Year xmlns="e6cd7bd4-3f3e-4495-b8c9-139289cd76e6" xsi:nil="true"/>
    <originator xmlns="e6cd7bd4-3f3e-4495-b8c9-139289cd76e6">nunnok</originator>
    <policyNumber xmlns="e6cd7bd4-3f3e-4495-b8c9-139289cd76e6">MS-ACC-001</policyNumber>
    <documentNumber xmlns="e6cd7bd4-3f3e-4495-b8c9-139289cd76e6" xsi:nil="true"/>
    <Municipality xmlns="e6cd7bd4-3f3e-4495-b8c9-139289cd76e6" xsi:nil="true"/>
    <gcNumber xmlns="e6cd7bd4-3f3e-4495-b8c9-139289cd76e6">GC_049563</gcNumber>
    <recordCategory xmlns="e6cd7bd4-3f3e-4495-b8c9-139289cd76e6">A09</recordCategory>
    <isPublic xmlns="e6cd7bd4-3f3e-4495-b8c9-139289cd76e6">true</isPublic>
    <sharedId xmlns="e6cd7bd4-3f3e-4495-b8c9-139289cd76e6">MDZuDWdBSkyqnRFBoAuS7g</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 xsi:nil="true"/>
    <addressees xmlns="e6cd7bd4-3f3e-4495-b8c9-139289cd76e6" xsi:nil="true"/>
    <identifier xmlns="e6cd7bd4-3f3e-4495-b8c9-139289cd76e6">2016-1466866702114</identifier>
    <reviewAsOf xmlns="e6cd7bd4-3f3e-4495-b8c9-139289cd76e6">2020-11-04T08:42:41+00:00</reviewAsOf>
    <bylawNumber xmlns="e6cd7bd4-3f3e-4495-b8c9-139289cd76e6" xsi:nil="true"/>
    <addressee xmlns="e6cd7bd4-3f3e-4495-b8c9-139289cd76e6" xsi:nil="true"/>
    <recordOriginatingLocation xmlns="e6cd7bd4-3f3e-4495-b8c9-139289cd76e6">workspace://SpacesStore/3305e6e3-6aac-4795-8d5c-3218336338bb</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19AACFE-63F8-4457-97B9-575D50C288D3}">
  <ds:schemaRefs>
    <ds:schemaRef ds:uri="http://schemas.openxmlformats.org/officeDocument/2006/bibliography"/>
  </ds:schemaRefs>
</ds:datastoreItem>
</file>

<file path=customXml/itemProps2.xml><?xml version="1.0" encoding="utf-8"?>
<ds:datastoreItem xmlns:ds="http://schemas.openxmlformats.org/officeDocument/2006/customXml" ds:itemID="{76274564-64E4-4D58-BF16-DF2A57387526}"/>
</file>

<file path=customXml/itemProps3.xml><?xml version="1.0" encoding="utf-8"?>
<ds:datastoreItem xmlns:ds="http://schemas.openxmlformats.org/officeDocument/2006/customXml" ds:itemID="{462B4502-84A8-4DE0-BF95-D02EA7CF740C}"/>
</file>

<file path=customXml/itemProps4.xml><?xml version="1.0" encoding="utf-8"?>
<ds:datastoreItem xmlns:ds="http://schemas.openxmlformats.org/officeDocument/2006/customXml" ds:itemID="{F1F80AEA-C853-4C14-9B51-05FB68CE0DB7}"/>
</file>

<file path=customXml/itemProps5.xml><?xml version="1.0" encoding="utf-8"?>
<ds:datastoreItem xmlns:ds="http://schemas.openxmlformats.org/officeDocument/2006/customXml" ds:itemID="{76C0C82B-E6D7-4C35-BABB-70E3F3FF78F5}"/>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cp:revision>
  <cp:lastPrinted>2013-01-28T14:48:00Z</cp:lastPrinted>
  <dcterms:created xsi:type="dcterms:W3CDTF">2013-02-05T18:58:00Z</dcterms:created>
  <dcterms:modified xsi:type="dcterms:W3CDTF">2013-02-05T18:58:00Z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